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516C1966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</w:t>
      </w:r>
      <w:r w:rsidRPr="00CC1CA8">
        <w:rPr>
          <w:rFonts w:cs="Arial"/>
          <w:sz w:val="18"/>
          <w:szCs w:val="18"/>
        </w:rPr>
        <w:lastRenderedPageBreak/>
        <w:t>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>t,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11213F69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a pénzügyi intézmény köteles a szerződésben meghatározni a biztosított követelés 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DB1BD3" w:rsidRPr="00DE68E4">
        <w:rPr>
          <w:rFonts w:ascii="Arial" w:hAnsi="Arial" w:cs="Arial"/>
          <w:sz w:val="18"/>
          <w:szCs w:val="18"/>
          <w:lang w:val="hu-HU"/>
        </w:rPr>
        <w:t xml:space="preserve"> j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DB1BD3" w:rsidRPr="00DE68E4">
        <w:rPr>
          <w:rFonts w:ascii="Arial" w:hAnsi="Arial" w:cs="Arial"/>
          <w:sz w:val="18"/>
          <w:szCs w:val="18"/>
          <w:lang w:val="hu-HU"/>
        </w:rPr>
        <w:t>rul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>kok n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>lk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ü</w:t>
      </w:r>
      <w:r w:rsidR="00DB1BD3" w:rsidRPr="00DE68E4">
        <w:rPr>
          <w:rFonts w:ascii="Arial" w:hAnsi="Arial" w:cs="Arial"/>
          <w:sz w:val="18"/>
          <w:szCs w:val="18"/>
          <w:lang w:val="hu-HU"/>
        </w:rPr>
        <w:t xml:space="preserve">li 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DB1BD3" w:rsidRPr="00DE68E4">
        <w:rPr>
          <w:rFonts w:ascii="Arial" w:hAnsi="Arial" w:cs="Arial"/>
          <w:sz w:val="18"/>
          <w:szCs w:val="18"/>
          <w:lang w:val="hu-HU"/>
        </w:rPr>
        <w:t xml:space="preserve"> 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DB1BD3" w:rsidRPr="00DE68E4">
        <w:rPr>
          <w:rFonts w:ascii="Arial" w:hAnsi="Arial" w:cs="Arial"/>
          <w:sz w:val="18"/>
          <w:szCs w:val="18"/>
          <w:lang w:val="hu-HU"/>
        </w:rPr>
        <w:t>sszeg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DB1BD3" w:rsidRPr="00DE68E4">
        <w:rPr>
          <w:rFonts w:ascii="Arial" w:hAnsi="Arial" w:cs="Arial"/>
          <w:sz w:val="18"/>
          <w:szCs w:val="18"/>
          <w:lang w:val="hu-HU"/>
        </w:rPr>
        <w:t>sszeget, amelynek erej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>ig a z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DB1BD3" w:rsidRPr="00DE68E4">
        <w:rPr>
          <w:rFonts w:ascii="Arial" w:hAnsi="Arial" w:cs="Arial"/>
          <w:sz w:val="18"/>
          <w:szCs w:val="18"/>
          <w:lang w:val="hu-HU"/>
        </w:rPr>
        <w:t>logjogosult a z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DB1BD3" w:rsidRPr="00DE68E4">
        <w:rPr>
          <w:rFonts w:ascii="Arial" w:hAnsi="Arial" w:cs="Arial"/>
          <w:sz w:val="18"/>
          <w:szCs w:val="18"/>
          <w:lang w:val="hu-HU"/>
        </w:rPr>
        <w:t>logt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DB1BD3" w:rsidRPr="00DE68E4">
        <w:rPr>
          <w:rFonts w:ascii="Arial" w:hAnsi="Arial" w:cs="Arial"/>
          <w:sz w:val="18"/>
          <w:szCs w:val="18"/>
          <w:lang w:val="hu-HU"/>
        </w:rPr>
        <w:t>rgyb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ó</w:t>
      </w:r>
      <w:r w:rsidR="00DB1BD3" w:rsidRPr="00DE68E4">
        <w:rPr>
          <w:rFonts w:ascii="Arial" w:hAnsi="Arial" w:cs="Arial"/>
          <w:sz w:val="18"/>
          <w:szCs w:val="18"/>
          <w:lang w:val="hu-HU"/>
        </w:rPr>
        <w:t>l kiel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>g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í</w:t>
      </w:r>
      <w:r w:rsidR="00DB1BD3" w:rsidRPr="00DE68E4">
        <w:rPr>
          <w:rFonts w:ascii="Arial" w:hAnsi="Arial" w:cs="Arial"/>
          <w:sz w:val="18"/>
          <w:szCs w:val="18"/>
          <w:lang w:val="hu-HU"/>
        </w:rPr>
        <w:t>t</w:t>
      </w:r>
      <w:r w:rsidR="00DB1BD3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DB1BD3" w:rsidRPr="00DE68E4">
        <w:rPr>
          <w:rFonts w:ascii="Arial" w:hAnsi="Arial" w:cs="Arial"/>
          <w:sz w:val="18"/>
          <w:szCs w:val="18"/>
          <w:lang w:val="hu-HU"/>
        </w:rPr>
        <w:t>st kereshet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27FBAD82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az engedményezési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4D3D56">
      <w:pPr>
        <w:spacing w:before="0" w:after="0"/>
        <w:ind w:left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59858BA4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 a követelés arányos része az Alapítványra száll át biztosítékaival, az azt biztosító jogokkal</w:t>
      </w:r>
      <w:r w:rsidR="00CC1CA8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valamint a végrehajtási joggal együtt. Az így keletkező alapítványi követelések érvényesítésére vonatkozó további szabályokat az Üzletszabályzat tartalmazza.</w:t>
      </w:r>
    </w:p>
    <w:p w14:paraId="734B0571" w14:textId="16781142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költségek)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65A2EDF8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  <w:r w:rsidR="008D5FEB" w:rsidRPr="008D5FEB">
        <w:rPr>
          <w:rFonts w:ascii="Arial" w:hAnsi="Arial" w:cs="Arial"/>
          <w:sz w:val="18"/>
          <w:szCs w:val="18"/>
          <w:lang w:val="hu-HU"/>
        </w:rPr>
        <w:t>Megtérülési elsőbbséget biztosító COSME kezesség esetén az Üzletszabályzat 4. számú melléklet 8.10 pontja szerinti szabályok kerülnek alkalmazásra.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1607078E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proofErr w:type="gramStart"/>
      <w:r w:rsidRPr="00CC1CA8">
        <w:rPr>
          <w:rFonts w:ascii="Arial" w:hAnsi="Arial" w:cs="Arial"/>
          <w:sz w:val="16"/>
          <w:szCs w:val="16"/>
          <w:lang w:val="hu-HU"/>
        </w:rPr>
        <w:t>Kelt :</w:t>
      </w:r>
      <w:proofErr w:type="gramEnd"/>
      <w:r w:rsidRPr="00CC1CA8">
        <w:rPr>
          <w:rFonts w:ascii="Arial" w:hAnsi="Arial" w:cs="Arial"/>
          <w:sz w:val="16"/>
          <w:szCs w:val="16"/>
          <w:lang w:val="hu-HU"/>
        </w:rPr>
        <w:t xml:space="preserve">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bookmarkStart w:id="1" w:name="_GoBack"/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bookmarkEnd w:id="1"/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Default="00B15FBE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68D16B13" w14:textId="77777777" w:rsidR="005C667F" w:rsidRPr="000858B4" w:rsidRDefault="005C667F" w:rsidP="005C667F">
      <w:pPr>
        <w:pStyle w:val="Cmsor2"/>
        <w:spacing w:before="0" w:after="0"/>
        <w:ind w:left="0"/>
        <w:jc w:val="center"/>
        <w:rPr>
          <w:rFonts w:ascii="Arial" w:hAnsi="Arial"/>
          <w:i w:val="0"/>
          <w:sz w:val="18"/>
          <w:lang w:val="hu-HU"/>
        </w:rPr>
      </w:pPr>
      <w:bookmarkStart w:id="2" w:name="pr2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2"/>
      <w:r w:rsidRPr="000858B4">
        <w:rPr>
          <w:rFonts w:ascii="Arial" w:hAnsi="Arial"/>
          <w:i w:val="0"/>
          <w:sz w:val="18"/>
          <w:lang w:val="hu-HU"/>
        </w:rPr>
        <w:lastRenderedPageBreak/>
        <w:t>H I R D E T M É N 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505AA05" w14:textId="6445B090" w:rsidR="005C667F" w:rsidRPr="00306CAA" w:rsidRDefault="005C667F" w:rsidP="00660A5B">
      <w:pPr>
        <w:jc w:val="center"/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Érvényes: 202</w:t>
      </w:r>
      <w:r w:rsidR="00B15FBE">
        <w:rPr>
          <w:rFonts w:ascii="Arial" w:hAnsi="Arial"/>
          <w:sz w:val="18"/>
          <w:lang w:val="hu-HU"/>
        </w:rPr>
        <w:t>2</w:t>
      </w:r>
      <w:r w:rsidRPr="00306CAA">
        <w:rPr>
          <w:rFonts w:ascii="Arial" w:hAnsi="Arial"/>
          <w:sz w:val="18"/>
          <w:lang w:val="hu-HU"/>
        </w:rPr>
        <w:t>.</w:t>
      </w:r>
      <w:r w:rsidRPr="00306CAA" w:rsidDel="003C6F5C">
        <w:rPr>
          <w:rFonts w:ascii="Arial" w:hAnsi="Arial"/>
          <w:sz w:val="18"/>
          <w:lang w:val="hu-HU"/>
        </w:rPr>
        <w:t xml:space="preserve"> </w:t>
      </w:r>
      <w:r w:rsidR="00CB2306">
        <w:rPr>
          <w:rFonts w:ascii="Arial" w:hAnsi="Arial" w:cs="Arial"/>
          <w:sz w:val="18"/>
          <w:szCs w:val="18"/>
          <w:lang w:val="hu-HU"/>
        </w:rPr>
        <w:t>augusztus 8</w:t>
      </w:r>
      <w:r w:rsidRPr="000858B4">
        <w:rPr>
          <w:rFonts w:ascii="Arial" w:hAnsi="Arial" w:cs="Arial"/>
          <w:sz w:val="18"/>
          <w:szCs w:val="18"/>
          <w:lang w:val="hu-HU"/>
        </w:rPr>
        <w:t>-</w:t>
      </w:r>
      <w:r w:rsidR="00D516AB" w:rsidRPr="000858B4">
        <w:rPr>
          <w:rFonts w:ascii="Arial" w:hAnsi="Arial" w:cs="Arial"/>
          <w:sz w:val="18"/>
          <w:szCs w:val="18"/>
          <w:lang w:val="hu-HU"/>
        </w:rPr>
        <w:t>t</w:t>
      </w:r>
      <w:r w:rsidR="00D516AB">
        <w:rPr>
          <w:rFonts w:ascii="Arial" w:hAnsi="Arial" w:cs="Arial"/>
          <w:sz w:val="18"/>
          <w:szCs w:val="18"/>
          <w:lang w:val="hu-HU"/>
        </w:rPr>
        <w:t>ó</w:t>
      </w:r>
      <w:r w:rsidR="00D516AB" w:rsidRPr="000858B4">
        <w:rPr>
          <w:rFonts w:ascii="Arial" w:hAnsi="Arial" w:cs="Arial"/>
          <w:sz w:val="18"/>
          <w:szCs w:val="18"/>
          <w:lang w:val="hu-HU"/>
        </w:rPr>
        <w:t>l</w:t>
      </w:r>
      <w:r w:rsidRPr="000858B4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</w:p>
    <w:p w14:paraId="05584DCC" w14:textId="77777777" w:rsidR="005C667F" w:rsidRPr="000858B4" w:rsidRDefault="005C667F" w:rsidP="005C667F">
      <w:pPr>
        <w:rPr>
          <w:rFonts w:ascii="Arial" w:hAnsi="Arial" w:cs="Arial"/>
          <w:b/>
          <w:sz w:val="18"/>
          <w:szCs w:val="18"/>
          <w:lang w:val="hu-HU"/>
        </w:rPr>
      </w:pPr>
    </w:p>
    <w:p w14:paraId="27AD45A1" w14:textId="77777777" w:rsidR="005C667F" w:rsidRPr="000858B4" w:rsidRDefault="005C667F" w:rsidP="005C667F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I.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3D550602" w14:textId="77777777" w:rsidR="005C667F" w:rsidRPr="000858B4" w:rsidRDefault="005C667F" w:rsidP="005C667F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01D45060" w14:textId="77777777" w:rsidR="005C667F" w:rsidRPr="00306CAA" w:rsidRDefault="005C667F" w:rsidP="005C667F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1.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kezességi díj </w:t>
      </w: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>mértéke</w:t>
      </w:r>
    </w:p>
    <w:p w14:paraId="491C1797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5C1D5D8" w14:textId="352DCB47" w:rsidR="005C667F" w:rsidRPr="00306CAA" w:rsidRDefault="00D44D8A" w:rsidP="00EE04DC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D44D8A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>
        <w:rPr>
          <w:rFonts w:ascii="Arial" w:hAnsi="Arial" w:cs="Arial"/>
          <w:b/>
          <w:sz w:val="18"/>
          <w:szCs w:val="18"/>
          <w:u w:val="single"/>
          <w:lang w:val="hu-HU"/>
        </w:rPr>
        <w:t>.</w:t>
      </w:r>
      <w:r w:rsidR="005C667F" w:rsidRPr="00306C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keretében</w:t>
      </w:r>
    </w:p>
    <w:p w14:paraId="0835B615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970BB7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9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30A914EB" w14:textId="77777777" w:rsidR="005C667F" w:rsidRPr="00306CAA" w:rsidRDefault="005C667F" w:rsidP="005C667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C667F" w:rsidRPr="00306CAA" w14:paraId="2FA74337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61944001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0F684EE4" w14:textId="38DC348A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435C52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5C667F" w:rsidRPr="00306CAA" w14:paraId="39EA897A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3ECA6C46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6A8845B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75A8CEE1" w14:textId="77777777" w:rsidR="005C667F" w:rsidRPr="00306CAA" w:rsidRDefault="005C667F" w:rsidP="005C667F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68158B77" w14:textId="74AD15E0" w:rsidR="005C667F" w:rsidRPr="00306CAA" w:rsidRDefault="005C667F" w:rsidP="00EE04DC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D44D8A" w:rsidRPr="00D44D8A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 w:rsidR="00D44D8A">
        <w:rPr>
          <w:rFonts w:ascii="Arial" w:hAnsi="Arial" w:cs="Arial"/>
          <w:b/>
          <w:sz w:val="18"/>
          <w:szCs w:val="18"/>
          <w:u w:val="single"/>
          <w:lang w:val="hu-HU"/>
        </w:rPr>
        <w:t>. kivételével</w:t>
      </w:r>
      <w:r w:rsidRPr="00306CAA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1D944CA5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D4D0572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6ED6C665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536"/>
      </w:tblGrid>
      <w:tr w:rsidR="00D44D8A" w:rsidRPr="00306CAA" w14:paraId="71F7FF0A" w14:textId="77777777" w:rsidTr="002B3ECF">
        <w:trPr>
          <w:trHeight w:val="1016"/>
        </w:trPr>
        <w:tc>
          <w:tcPr>
            <w:tcW w:w="2263" w:type="dxa"/>
          </w:tcPr>
          <w:p w14:paraId="408604AE" w14:textId="77777777" w:rsidR="00D44D8A" w:rsidRPr="00306CAA" w:rsidRDefault="00D44D8A" w:rsidP="002B3EC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261" w:type="dxa"/>
          </w:tcPr>
          <w:p w14:paraId="09334A4F" w14:textId="1D0758A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96757F" w14:textId="4A7D1FE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36" w:type="dxa"/>
          </w:tcPr>
          <w:p w14:paraId="5F18B157" w14:textId="7F13B11E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D50DB41" w14:textId="10A114B1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Vállalkozásnak nyújtott költségvetési díjtámogatás mellett (nettó)</w:t>
            </w:r>
            <w:r w:rsidR="00435C52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customMarkFollows="1" w:id="7"/>
              <w:t>6</w:t>
            </w:r>
          </w:p>
        </w:tc>
      </w:tr>
      <w:tr w:rsidR="00D44D8A" w:rsidRPr="00306CAA" w14:paraId="71EE3854" w14:textId="77777777" w:rsidTr="002B3ECF">
        <w:trPr>
          <w:trHeight w:val="1016"/>
        </w:trPr>
        <w:tc>
          <w:tcPr>
            <w:tcW w:w="2263" w:type="dxa"/>
            <w:vAlign w:val="center"/>
          </w:tcPr>
          <w:p w14:paraId="520005D6" w14:textId="77777777" w:rsidR="00D44D8A" w:rsidRPr="00306CAA" w:rsidRDefault="00D44D8A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/>
                <w:sz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3261" w:type="dxa"/>
            <w:vAlign w:val="center"/>
          </w:tcPr>
          <w:p w14:paraId="6799F108" w14:textId="0EA38F2A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DFD136" w14:textId="578D6CF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3536" w:type="dxa"/>
            <w:vAlign w:val="center"/>
          </w:tcPr>
          <w:p w14:paraId="7257E4FB" w14:textId="33B7EEF6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10F459B" w14:textId="04A613F2" w:rsidR="00D44D8A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4EDD0547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5AF3D371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3261" w:type="dxa"/>
            <w:vAlign w:val="center"/>
          </w:tcPr>
          <w:p w14:paraId="570389AA" w14:textId="32572FC1" w:rsidR="005C667F" w:rsidRPr="00306CAA" w:rsidRDefault="00D44D8A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0,99</w:t>
            </w:r>
            <w:r w:rsidR="005C667F"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3DC52303" w14:textId="55CFD78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D44D8A">
              <w:rPr>
                <w:rFonts w:ascii="Arial" w:hAnsi="Arial" w:cs="Arial"/>
                <w:sz w:val="18"/>
                <w:szCs w:val="18"/>
                <w:lang w:val="hu-HU"/>
              </w:rPr>
              <w:t>24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2B686AA5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102050CF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3261" w:type="dxa"/>
            <w:vAlign w:val="center"/>
          </w:tcPr>
          <w:p w14:paraId="42C8CAC6" w14:textId="218C3CC6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D44D8A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36" w:type="dxa"/>
            <w:vAlign w:val="center"/>
          </w:tcPr>
          <w:p w14:paraId="2C17E2E6" w14:textId="1C042C88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D44D8A">
              <w:rPr>
                <w:rFonts w:ascii="Arial" w:hAnsi="Arial" w:cs="Arial"/>
                <w:sz w:val="18"/>
                <w:szCs w:val="18"/>
                <w:lang w:val="hu-HU"/>
              </w:rPr>
              <w:t>29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68A13576" w14:textId="77777777" w:rsidTr="002420DE">
        <w:trPr>
          <w:trHeight w:val="1016"/>
        </w:trPr>
        <w:tc>
          <w:tcPr>
            <w:tcW w:w="2263" w:type="dxa"/>
            <w:vAlign w:val="center"/>
          </w:tcPr>
          <w:p w14:paraId="5FD014A8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3261" w:type="dxa"/>
            <w:vAlign w:val="center"/>
          </w:tcPr>
          <w:p w14:paraId="4CB54D44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vAlign w:val="center"/>
          </w:tcPr>
          <w:p w14:paraId="62621A8B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0B8CF073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23AA9BA0" w14:textId="77777777" w:rsidR="007C6CA0" w:rsidRDefault="007C6CA0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072DA797" w14:textId="77777777" w:rsidR="007C6CA0" w:rsidRDefault="007C6CA0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25FA4C82" w14:textId="77777777" w:rsidR="007C6CA0" w:rsidRDefault="007C6CA0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10E8B80B" w14:textId="77777777" w:rsidR="007C6CA0" w:rsidRDefault="007C6CA0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</w:p>
    <w:p w14:paraId="38F11391" w14:textId="4AE92F60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306CAA">
        <w:rPr>
          <w:rFonts w:ascii="Arial" w:hAnsi="Arial" w:cs="Arial"/>
          <w:b/>
          <w:sz w:val="18"/>
          <w:szCs w:val="18"/>
          <w:lang w:val="hu-HU"/>
        </w:rPr>
        <w:lastRenderedPageBreak/>
        <w:t>Vidékfejlesztési célú ügylet esetén</w:t>
      </w:r>
      <w:r w:rsidRPr="00306CAA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8"/>
      </w:r>
    </w:p>
    <w:p w14:paraId="13886677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2CF8CF6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1F5FC03E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768"/>
        <w:gridCol w:w="2918"/>
        <w:gridCol w:w="4381"/>
      </w:tblGrid>
      <w:tr w:rsidR="005C667F" w:rsidRPr="00306CAA" w14:paraId="2CE3CD80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375EBC3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4381" w:type="dxa"/>
            <w:vAlign w:val="center"/>
          </w:tcPr>
          <w:p w14:paraId="4866DAC7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3F2C73" w:rsidRPr="00306CAA" w14:paraId="0E039541" w14:textId="77777777" w:rsidTr="003F2C73">
        <w:trPr>
          <w:trHeight w:val="432"/>
        </w:trPr>
        <w:tc>
          <w:tcPr>
            <w:tcW w:w="1768" w:type="dxa"/>
            <w:vMerge w:val="restart"/>
            <w:vAlign w:val="center"/>
          </w:tcPr>
          <w:p w14:paraId="149567C6" w14:textId="77777777" w:rsidR="003F2C73" w:rsidRPr="00306CAA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918" w:type="dxa"/>
            <w:vAlign w:val="center"/>
          </w:tcPr>
          <w:p w14:paraId="3A4F6CBC" w14:textId="56EEB531" w:rsidR="003F2C73" w:rsidRPr="00306CAA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3F2C73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381" w:type="dxa"/>
            <w:vAlign w:val="center"/>
          </w:tcPr>
          <w:p w14:paraId="140B3BD8" w14:textId="77777777" w:rsidR="003F2C73" w:rsidRPr="00306CAA" w:rsidRDefault="003F2C73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3F2C73" w:rsidRPr="00306CAA" w14:paraId="3201B1C0" w14:textId="77777777" w:rsidTr="002B3ECF">
        <w:trPr>
          <w:trHeight w:val="432"/>
        </w:trPr>
        <w:tc>
          <w:tcPr>
            <w:tcW w:w="1768" w:type="dxa"/>
            <w:vMerge/>
            <w:vAlign w:val="center"/>
          </w:tcPr>
          <w:p w14:paraId="6A10A799" w14:textId="77777777" w:rsidR="003F2C73" w:rsidRPr="000858B4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918" w:type="dxa"/>
            <w:vAlign w:val="center"/>
          </w:tcPr>
          <w:p w14:paraId="19B19729" w14:textId="44EB203B" w:rsidR="003F2C73" w:rsidRPr="000858B4" w:rsidRDefault="003F2C73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F2C73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4381" w:type="dxa"/>
            <w:vAlign w:val="center"/>
          </w:tcPr>
          <w:p w14:paraId="4D00C7E6" w14:textId="610B0610" w:rsidR="003F2C73" w:rsidRPr="00306CAA" w:rsidRDefault="003F2C73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5C667F" w:rsidRPr="00306CAA" w14:paraId="763AB746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3A81928A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4381" w:type="dxa"/>
            <w:vAlign w:val="center"/>
          </w:tcPr>
          <w:p w14:paraId="17DF8D41" w14:textId="2D49388D" w:rsidR="005C667F" w:rsidRPr="000858B4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2967CF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03A6697B" w14:textId="77777777" w:rsidTr="003F2C73">
        <w:trPr>
          <w:trHeight w:val="866"/>
        </w:trPr>
        <w:tc>
          <w:tcPr>
            <w:tcW w:w="4686" w:type="dxa"/>
            <w:gridSpan w:val="2"/>
            <w:vAlign w:val="center"/>
          </w:tcPr>
          <w:p w14:paraId="4595EF4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4381" w:type="dxa"/>
            <w:vAlign w:val="center"/>
          </w:tcPr>
          <w:p w14:paraId="2408E0D7" w14:textId="77777777" w:rsidR="005C667F" w:rsidRPr="000858B4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3F391E6A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D50A293" w14:textId="77777777" w:rsidR="005C667F" w:rsidRPr="00306CAA" w:rsidRDefault="005C667F" w:rsidP="000858B4">
      <w:pPr>
        <w:shd w:val="clear" w:color="auto" w:fill="FFFFFF"/>
        <w:spacing w:after="60"/>
        <w:rPr>
          <w:rFonts w:ascii="Arial" w:hAnsi="Arial"/>
          <w:b/>
          <w:sz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2.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>Kedvezmények</w:t>
      </w:r>
    </w:p>
    <w:p w14:paraId="6979A19D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7A39F76C" w14:textId="7E3650F7" w:rsidR="005C667F" w:rsidRPr="00306CAA" w:rsidRDefault="005C667F" w:rsidP="000858B4">
      <w:pPr>
        <w:spacing w:after="6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legalább 3 éves futamidejű agrárcélú beruházási hitelekhez és lízingszerződésekhez</w:t>
      </w:r>
      <w:bookmarkStart w:id="16" w:name="_Hlk109900354"/>
      <w:r w:rsidRPr="00306CAA">
        <w:rPr>
          <w:rFonts w:ascii="Arial" w:hAnsi="Arial"/>
          <w:sz w:val="18"/>
          <w:lang w:val="hu-HU"/>
        </w:rPr>
        <w:t xml:space="preserve"> </w:t>
      </w:r>
      <w:bookmarkEnd w:id="16"/>
      <w:r w:rsidRPr="00306CAA">
        <w:rPr>
          <w:rFonts w:ascii="Arial" w:hAnsi="Arial"/>
          <w:sz w:val="18"/>
          <w:lang w:val="hu-HU"/>
        </w:rPr>
        <w:t>nyújtott állami támogatásnak minősülő kezesség</w:t>
      </w:r>
      <w:r w:rsidR="00F665CF">
        <w:rPr>
          <w:rFonts w:ascii="Arial" w:hAnsi="Arial"/>
          <w:sz w:val="18"/>
          <w:lang w:val="hu-HU"/>
        </w:rPr>
        <w:t xml:space="preserve"> </w:t>
      </w:r>
      <w:r w:rsidR="00F665CF" w:rsidRPr="00F665CF">
        <w:rPr>
          <w:rFonts w:ascii="Arial" w:hAnsi="Arial"/>
          <w:sz w:val="18"/>
          <w:lang w:val="hu-HU"/>
        </w:rPr>
        <w:t>(AVHGA Krízis Agrárgarancia Program II. keretében vállalt kezességek kivételével)</w:t>
      </w:r>
      <w:r w:rsidRPr="00306CAA">
        <w:rPr>
          <w:rFonts w:ascii="Arial" w:hAnsi="Arial"/>
          <w:sz w:val="18"/>
          <w:lang w:val="hu-HU"/>
        </w:rPr>
        <w:t xml:space="preserve">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1CD5DFF3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32EF45FE" w14:textId="070624F1" w:rsidR="005C667F" w:rsidRPr="007C6CA0" w:rsidRDefault="005C667F" w:rsidP="007C6CA0">
      <w:pPr>
        <w:shd w:val="clear" w:color="auto" w:fill="FFFFFF"/>
        <w:spacing w:after="60"/>
        <w:rPr>
          <w:rFonts w:ascii="Arial" w:hAnsi="Arial"/>
          <w:sz w:val="18"/>
          <w:u w:val="single"/>
          <w:lang w:val="hu-HU"/>
        </w:rPr>
      </w:pPr>
      <w:r w:rsidRPr="00306CAA">
        <w:rPr>
          <w:rFonts w:ascii="Arial" w:hAnsi="Arial"/>
          <w:b/>
          <w:sz w:val="18"/>
          <w:lang w:val="hu-HU"/>
        </w:rPr>
        <w:t>3.</w:t>
      </w:r>
      <w:r w:rsidRPr="00306CAA">
        <w:rPr>
          <w:rFonts w:ascii="Arial" w:hAnsi="Arial"/>
          <w:b/>
          <w:sz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>Piaci kezességi díj évenkénti mértéke</w:t>
      </w:r>
    </w:p>
    <w:p w14:paraId="205CDD4B" w14:textId="77777777" w:rsidR="005C667F" w:rsidRPr="000858B4" w:rsidRDefault="005C667F" w:rsidP="000858B4">
      <w:pPr>
        <w:rPr>
          <w:rFonts w:ascii="Arial" w:hAnsi="Arial"/>
          <w:sz w:val="18"/>
          <w:lang w:val="hu-HU"/>
        </w:rPr>
      </w:pPr>
      <w:r w:rsidRPr="004B63F5">
        <w:rPr>
          <w:rFonts w:ascii="Arial" w:hAnsi="Arial"/>
          <w:sz w:val="18"/>
          <w:lang w:val="hu-HU"/>
        </w:rPr>
        <w:t>A díjmértékek 80%-os készfizető kezességre vonatkozóan, a kezességgel biztosított összeg százalékában kerülnek feltüntetésre. 80%-tól</w:t>
      </w:r>
      <w:r w:rsidRPr="000858B4">
        <w:rPr>
          <w:rFonts w:ascii="Arial" w:hAnsi="Arial"/>
          <w:sz w:val="18"/>
          <w:lang w:val="hu-HU"/>
        </w:rPr>
        <w:t xml:space="preserve"> eltérő kezességi mérték esetén a díjkulcs arányosan változik.</w:t>
      </w:r>
    </w:p>
    <w:p w14:paraId="25A24CAE" w14:textId="77777777" w:rsidR="005C667F" w:rsidRPr="00306CAA" w:rsidRDefault="005C667F" w:rsidP="000858B4">
      <w:pPr>
        <w:rPr>
          <w:rFonts w:ascii="Arial" w:hAnsi="Arial"/>
          <w:sz w:val="18"/>
          <w:lang w:val="hu-HU"/>
        </w:rPr>
      </w:pPr>
    </w:p>
    <w:p w14:paraId="5E647F28" w14:textId="77777777" w:rsidR="005C667F" w:rsidRPr="00306CAA" w:rsidRDefault="005C667F" w:rsidP="005C667F">
      <w:pPr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b/>
          <w:spacing w:val="-6"/>
          <w:sz w:val="18"/>
          <w:lang w:val="hu-HU"/>
        </w:rPr>
        <w:t>Elsődleges agrár ügylet esetén</w:t>
      </w:r>
    </w:p>
    <w:p w14:paraId="506F1A77" w14:textId="77777777" w:rsidR="005C667F" w:rsidRPr="00306CAA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5C667F" w:rsidRPr="00306CAA" w14:paraId="2C0CE621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51572783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793B617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18BD609B" w14:textId="628D6BE0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2B3ECF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06</w:t>
            </w: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  <w:p w14:paraId="342FE264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667F" w:rsidRPr="00306CAA" w14:paraId="0B8E8946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5E544A0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7867049" w14:textId="00DB439E" w:rsidR="005C667F" w:rsidRPr="00306CAA" w:rsidRDefault="002B3EC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5C667F"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99</w:t>
            </w:r>
            <w:r w:rsidR="005C667F" w:rsidRPr="00306CAA">
              <w:rPr>
                <w:rFonts w:ascii="Arial" w:hAnsi="Arial"/>
                <w:color w:val="000000"/>
                <w:sz w:val="18"/>
                <w:lang w:val="hu-HU"/>
              </w:rPr>
              <w:t>%</w:t>
            </w:r>
          </w:p>
        </w:tc>
      </w:tr>
      <w:tr w:rsidR="005C667F" w:rsidRPr="00306CAA" w14:paraId="2368A23D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7634F35B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6868DB59" w14:textId="76BDAE21" w:rsidR="005C667F" w:rsidRPr="000858B4" w:rsidRDefault="005C667F" w:rsidP="00232696">
            <w:pPr>
              <w:spacing w:after="60"/>
              <w:ind w:right="59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="002B3ECF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  <w:p w14:paraId="19B3D7C0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C667F" w:rsidRPr="00306CAA" w14:paraId="079206A8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024CE90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F1519F8" w14:textId="05DA3013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5718F229" w14:textId="77777777" w:rsidR="00590EE9" w:rsidRPr="000858B4" w:rsidRDefault="00590EE9" w:rsidP="007C6CA0">
      <w:pPr>
        <w:shd w:val="clear" w:color="auto" w:fill="FFFFFF"/>
        <w:spacing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04E8D60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858B4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709269CC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5C667F" w:rsidRPr="00306CAA" w14:paraId="02728FCF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3BF1B3B7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eruházási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2885004" w14:textId="65CE2EDC" w:rsidR="005C667F" w:rsidRPr="00306CAA" w:rsidRDefault="002B3EC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1,35</w:t>
            </w:r>
            <w:r w:rsidR="005C667F" w:rsidRPr="00306C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3A95CCED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0003B053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forgóeszköz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kölcsön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8901581" w14:textId="31E89181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306CAA">
              <w:rPr>
                <w:rFonts w:ascii="Arial" w:hAnsi="Arial"/>
                <w:color w:val="000000"/>
                <w:sz w:val="18"/>
                <w:lang w:val="hu-HU"/>
              </w:rPr>
              <w:t>2,</w:t>
            </w:r>
            <w:r w:rsidR="002B3ECF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</w:t>
            </w:r>
            <w:r w:rsidR="002B3ECF"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4</w:t>
            </w:r>
            <w:r w:rsidRPr="00306CAA">
              <w:rPr>
                <w:rFonts w:ascii="Arial" w:hAnsi="Arial"/>
                <w:color w:val="000000"/>
                <w:sz w:val="18"/>
                <w:lang w:val="hu-HU"/>
              </w:rPr>
              <w:t>%</w:t>
            </w:r>
          </w:p>
        </w:tc>
      </w:tr>
      <w:tr w:rsidR="005C667F" w:rsidRPr="00306CAA" w14:paraId="2242E316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1FE36BB4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garancia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72A7966E" w14:textId="4222C4B3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</w:t>
            </w:r>
            <w:r w:rsidR="002B3ECF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04</w:t>
            </w: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%</w:t>
            </w:r>
          </w:p>
        </w:tc>
      </w:tr>
      <w:tr w:rsidR="005C667F" w:rsidRPr="00306CAA" w14:paraId="7400DA02" w14:textId="77777777" w:rsidTr="000858B4">
        <w:trPr>
          <w:trHeight w:val="1016"/>
        </w:trPr>
        <w:tc>
          <w:tcPr>
            <w:tcW w:w="2113" w:type="pct"/>
            <w:vAlign w:val="center"/>
          </w:tcPr>
          <w:p w14:paraId="7B0E96D5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0858B4">
              <w:rPr>
                <w:rFonts w:ascii="Arial" w:hAnsi="Arial" w:cs="Arial"/>
                <w:sz w:val="18"/>
                <w:szCs w:val="18"/>
                <w:lang w:val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79BD7365" w14:textId="3B66CB52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5FB8635B" w14:textId="77777777" w:rsidR="005C667F" w:rsidRPr="000858B4" w:rsidRDefault="005C667F" w:rsidP="005C667F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07C293DA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EAEC585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4.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1DC696B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FC4E924" w14:textId="77777777" w:rsidR="005C667F" w:rsidRPr="00306CAA" w:rsidRDefault="005C667F" w:rsidP="005C667F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306CAA">
        <w:rPr>
          <w:rFonts w:ascii="Arial" w:hAnsi="Arial" w:cs="Arial"/>
          <w:sz w:val="18"/>
          <w:szCs w:val="18"/>
          <w:lang w:val="hu-HU"/>
        </w:rPr>
        <w:t>A d</w:t>
      </w:r>
      <w:r w:rsidRPr="000858B4">
        <w:rPr>
          <w:rFonts w:ascii="Arial" w:hAnsi="Arial" w:cs="Arial"/>
          <w:sz w:val="18"/>
          <w:szCs w:val="18"/>
          <w:lang w:val="hu-HU"/>
        </w:rPr>
        <w:t xml:space="preserve">íjmértékek </w:t>
      </w:r>
      <w:r w:rsidRPr="00306CAA">
        <w:rPr>
          <w:rFonts w:ascii="Arial" w:hAnsi="Arial" w:cs="Arial"/>
          <w:sz w:val="18"/>
          <w:szCs w:val="18"/>
          <w:lang w:val="hu-HU"/>
        </w:rPr>
        <w:t>8</w:t>
      </w:r>
      <w:r w:rsidRPr="000858B4">
        <w:rPr>
          <w:rFonts w:ascii="Arial" w:hAnsi="Arial" w:cs="Arial"/>
          <w:sz w:val="18"/>
          <w:szCs w:val="18"/>
          <w:lang w:val="hu-HU"/>
        </w:rPr>
        <w:t>0%-os készfizető kezesség</w:t>
      </w:r>
      <w:r w:rsidRPr="00306CAA">
        <w:rPr>
          <w:rFonts w:ascii="Arial" w:hAnsi="Arial" w:cs="Arial"/>
          <w:sz w:val="18"/>
          <w:szCs w:val="18"/>
          <w:lang w:val="hu-HU"/>
        </w:rPr>
        <w:t>re vonatkozóan</w:t>
      </w:r>
      <w:r w:rsidRPr="000858B4">
        <w:rPr>
          <w:rFonts w:ascii="Arial" w:hAnsi="Arial" w:cs="Arial"/>
          <w:sz w:val="18"/>
          <w:szCs w:val="18"/>
          <w:lang w:val="hu-HU"/>
        </w:rPr>
        <w:t>, a kezességgel biztosított összeg százalékában</w:t>
      </w:r>
      <w:r w:rsidRPr="00306CA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C667F" w:rsidRPr="00306CAA" w14:paraId="046EBF6E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6030D78D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0858B4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4CCA3562" w14:textId="3A20CC08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763C07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3CD06A00" w14:textId="77777777" w:rsidTr="000858B4">
        <w:trPr>
          <w:trHeight w:val="866"/>
        </w:trPr>
        <w:tc>
          <w:tcPr>
            <w:tcW w:w="4533" w:type="dxa"/>
            <w:vAlign w:val="center"/>
          </w:tcPr>
          <w:p w14:paraId="27B295BC" w14:textId="77777777" w:rsidR="005C667F" w:rsidRPr="00306CAA" w:rsidRDefault="005C667F" w:rsidP="002B3EC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0858B4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09271EAC" w14:textId="77777777" w:rsidR="005C667F" w:rsidRPr="00306CAA" w:rsidRDefault="005C667F" w:rsidP="002B3EC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06CAA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0BADF060" w14:textId="77777777" w:rsidR="005C667F" w:rsidRPr="000858B4" w:rsidRDefault="005C667F" w:rsidP="005C667F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EFF5BFB" w14:textId="2EA781A5" w:rsidR="005C667F" w:rsidRPr="00306CAA" w:rsidRDefault="005C667F">
      <w:pPr>
        <w:shd w:val="clear" w:color="auto" w:fill="FFFFFF"/>
        <w:spacing w:after="60"/>
        <w:rPr>
          <w:rFonts w:ascii="Arial" w:hAnsi="Arial"/>
          <w:b/>
          <w:sz w:val="18"/>
          <w:u w:val="single"/>
          <w:lang w:val="hu-HU"/>
        </w:rPr>
      </w:pPr>
      <w:r w:rsidRPr="000858B4">
        <w:rPr>
          <w:rFonts w:ascii="Arial" w:hAnsi="Arial" w:cs="Arial"/>
          <w:b/>
          <w:sz w:val="18"/>
          <w:szCs w:val="18"/>
          <w:lang w:val="hu-HU"/>
        </w:rPr>
        <w:t>5.</w:t>
      </w:r>
      <w:r w:rsidRPr="000858B4">
        <w:rPr>
          <w:rFonts w:ascii="Arial" w:hAnsi="Arial" w:cs="Arial"/>
          <w:b/>
          <w:sz w:val="18"/>
          <w:szCs w:val="18"/>
          <w:lang w:val="hu-HU"/>
        </w:rPr>
        <w:tab/>
      </w:r>
      <w:r w:rsidRPr="00306CAA">
        <w:rPr>
          <w:rFonts w:ascii="Arial" w:hAnsi="Arial"/>
          <w:b/>
          <w:sz w:val="18"/>
          <w:u w:val="single"/>
          <w:lang w:val="hu-HU"/>
        </w:rPr>
        <w:t xml:space="preserve">Agrár Széchenyi </w:t>
      </w:r>
      <w:r w:rsidR="00355F03">
        <w:rPr>
          <w:rFonts w:ascii="Arial" w:hAnsi="Arial"/>
          <w:b/>
          <w:sz w:val="18"/>
          <w:u w:val="single"/>
          <w:lang w:val="hu-HU"/>
        </w:rPr>
        <w:t xml:space="preserve">Újraindítási </w:t>
      </w:r>
      <w:r w:rsidRPr="00306CAA">
        <w:rPr>
          <w:rFonts w:ascii="Arial" w:hAnsi="Arial"/>
          <w:b/>
          <w:sz w:val="18"/>
          <w:u w:val="single"/>
          <w:lang w:val="hu-HU"/>
        </w:rPr>
        <w:t>Beruházási Hitel Program</w:t>
      </w:r>
      <w:r w:rsidR="0039085F">
        <w:rPr>
          <w:rFonts w:ascii="Arial" w:hAnsi="Arial"/>
          <w:b/>
          <w:sz w:val="18"/>
          <w:u w:val="single"/>
          <w:lang w:val="hu-HU"/>
        </w:rPr>
        <w:t xml:space="preserve"> </w:t>
      </w:r>
      <w:bookmarkStart w:id="17" w:name="_Hlk109900025"/>
      <w:r w:rsidR="0039085F" w:rsidRPr="0039085F">
        <w:rPr>
          <w:rFonts w:ascii="Arial" w:hAnsi="Arial"/>
          <w:b/>
          <w:sz w:val="18"/>
          <w:u w:val="single"/>
          <w:lang w:val="hu-HU"/>
        </w:rPr>
        <w:t>és Széchenyi Mikrohitel Konstrukció</w:t>
      </w:r>
      <w:r w:rsidRPr="00306CAA">
        <w:rPr>
          <w:rFonts w:ascii="Arial" w:hAnsi="Arial"/>
          <w:b/>
          <w:sz w:val="18"/>
          <w:u w:val="single"/>
          <w:lang w:val="hu-HU"/>
        </w:rPr>
        <w:t xml:space="preserve"> </w:t>
      </w:r>
      <w:bookmarkEnd w:id="17"/>
      <w:r w:rsidRPr="00306CAA">
        <w:rPr>
          <w:rFonts w:ascii="Arial" w:hAnsi="Arial"/>
          <w:b/>
          <w:sz w:val="18"/>
          <w:u w:val="single"/>
          <w:lang w:val="hu-HU"/>
        </w:rPr>
        <w:t>kezességi díj évenkénti mértéke</w:t>
      </w:r>
    </w:p>
    <w:p w14:paraId="51A90AEB" w14:textId="77777777" w:rsidR="005C667F" w:rsidRPr="00306CAA" w:rsidRDefault="005C667F" w:rsidP="00EE04DC">
      <w:pPr>
        <w:shd w:val="clear" w:color="auto" w:fill="FFFFFF"/>
        <w:spacing w:after="60"/>
        <w:ind w:left="0"/>
        <w:rPr>
          <w:rFonts w:ascii="Arial" w:hAnsi="Arial"/>
          <w:sz w:val="18"/>
          <w:u w:val="single"/>
          <w:lang w:val="hu-HU"/>
        </w:rPr>
      </w:pPr>
    </w:p>
    <w:p w14:paraId="5D14B4C8" w14:textId="4D3992CF" w:rsidR="005C667F" w:rsidRDefault="005C667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díjmértékek 80%-os készfizető kezességre vonatkozóan, a kezességgel biztosított összeg százalékában kerülnek feltüntetésre.</w:t>
      </w:r>
    </w:p>
    <w:p w14:paraId="34C200A4" w14:textId="119F6D92" w:rsidR="0039085F" w:rsidRDefault="0039085F" w:rsidP="005C667F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762B48AA" w14:textId="77777777" w:rsidR="0039085F" w:rsidRPr="0069021F" w:rsidRDefault="0039085F" w:rsidP="0039085F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bookmarkStart w:id="18" w:name="_Hlk109900038"/>
      <w:r w:rsidRPr="0069021F">
        <w:rPr>
          <w:rFonts w:ascii="Arial" w:hAnsi="Arial" w:cs="Arial"/>
          <w:b/>
          <w:sz w:val="18"/>
          <w:szCs w:val="18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39085F" w:rsidRPr="0039085F" w14:paraId="5CDB1AB1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9718" w14:textId="425E1BFA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Pénzügyi intézmény által megfizetend</w:t>
            </w:r>
            <w:r w:rsidRPr="0069021F">
              <w:rPr>
                <w:rFonts w:ascii="Arial" w:hAnsi="Arial" w:cs="Arial" w:hint="eastAsia"/>
                <w:iCs/>
                <w:sz w:val="18"/>
                <w:szCs w:val="18"/>
              </w:rPr>
              <w:t>ő</w:t>
            </w:r>
            <w:r w:rsidRPr="0069021F">
              <w:rPr>
                <w:rFonts w:ascii="Arial" w:hAnsi="Arial" w:cs="Arial"/>
                <w:iCs/>
                <w:sz w:val="18"/>
                <w:szCs w:val="18"/>
              </w:rPr>
              <w:t xml:space="preserve">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5EF2" w14:textId="77777777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a Vállalkozásnak nyújtott költségvetési díjtámogatás mellett a vállalkozás által fizetend</w:t>
            </w:r>
            <w:r w:rsidRPr="0069021F">
              <w:rPr>
                <w:rFonts w:ascii="Arial" w:hAnsi="Arial" w:cs="Arial" w:hint="eastAsia"/>
                <w:iCs/>
                <w:sz w:val="18"/>
                <w:szCs w:val="18"/>
              </w:rPr>
              <w:t>ő</w:t>
            </w:r>
            <w:r w:rsidRPr="0069021F">
              <w:rPr>
                <w:rFonts w:ascii="Arial" w:hAnsi="Arial" w:cs="Arial"/>
                <w:iCs/>
                <w:sz w:val="18"/>
                <w:szCs w:val="18"/>
              </w:rPr>
              <w:t xml:space="preserve"> (nettó) kezességi díj</w:t>
            </w:r>
          </w:p>
        </w:tc>
      </w:tr>
      <w:tr w:rsidR="0039085F" w:rsidRPr="0039085F" w14:paraId="481BA741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DBA7" w14:textId="77777777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1,06%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9053" w14:textId="77777777" w:rsidR="0039085F" w:rsidRPr="0069021F" w:rsidRDefault="0039085F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69021F">
              <w:rPr>
                <w:rFonts w:ascii="Arial" w:hAnsi="Arial" w:cs="Arial"/>
                <w:iCs/>
                <w:sz w:val="18"/>
                <w:szCs w:val="18"/>
              </w:rPr>
              <w:t>0,06%</w:t>
            </w:r>
          </w:p>
        </w:tc>
      </w:tr>
      <w:bookmarkEnd w:id="18"/>
    </w:tbl>
    <w:p w14:paraId="2C3B3349" w14:textId="1B5B2F8B" w:rsidR="0039085F" w:rsidRPr="0039085F" w:rsidRDefault="0039085F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143B9727" w14:textId="4D227AB9" w:rsidR="0039085F" w:rsidRPr="00CB2306" w:rsidRDefault="0039085F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3ECAF6F4" w14:textId="0B70D020" w:rsidR="0039085F" w:rsidRPr="00F73867" w:rsidRDefault="0039085F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01ED1B2B" w14:textId="0037F54D" w:rsidR="0039085F" w:rsidRPr="00F73867" w:rsidRDefault="0039085F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7DCA32AF" w14:textId="730EE67C" w:rsidR="0039085F" w:rsidRDefault="0039085F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1DAD09DA" w14:textId="77777777" w:rsidR="00590EE9" w:rsidRPr="00F73867" w:rsidRDefault="00590EE9" w:rsidP="005C667F">
      <w:pPr>
        <w:shd w:val="clear" w:color="auto" w:fill="FFFFFF"/>
        <w:spacing w:after="60"/>
        <w:rPr>
          <w:rFonts w:ascii="Arial" w:hAnsi="Arial" w:cs="Arial"/>
          <w:sz w:val="18"/>
          <w:lang w:val="hu-HU"/>
        </w:rPr>
      </w:pPr>
    </w:p>
    <w:p w14:paraId="7E684D92" w14:textId="0C128AF8" w:rsidR="005C667F" w:rsidRPr="00306CAA" w:rsidRDefault="0039085F" w:rsidP="0069021F">
      <w:pPr>
        <w:shd w:val="clear" w:color="auto" w:fill="FFFFFF"/>
        <w:spacing w:after="60"/>
        <w:ind w:left="0"/>
        <w:rPr>
          <w:rFonts w:ascii="Arial" w:hAnsi="Arial"/>
          <w:sz w:val="18"/>
          <w:u w:val="single"/>
          <w:lang w:val="hu-HU"/>
        </w:rPr>
      </w:pPr>
      <w:bookmarkStart w:id="19" w:name="_Hlk109900079"/>
      <w:r w:rsidRPr="0069021F">
        <w:rPr>
          <w:rFonts w:ascii="Arial" w:hAnsi="Arial" w:cs="Arial"/>
          <w:b/>
          <w:iCs/>
          <w:sz w:val="18"/>
          <w:szCs w:val="18"/>
        </w:rPr>
        <w:t>Piaci kezességi díj évenkénti mértéke</w:t>
      </w:r>
      <w:bookmarkEnd w:id="19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5C667F" w:rsidRPr="00306CAA" w14:paraId="0EC5EDD2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FFB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8010" w14:textId="1FE61BA2" w:rsidR="005C667F" w:rsidRPr="00306CAA" w:rsidRDefault="005C667F" w:rsidP="000858B4">
            <w:pPr>
              <w:shd w:val="clear" w:color="auto" w:fill="FFFFFF"/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C248" w14:textId="28DF11D8" w:rsidR="005C667F" w:rsidRPr="00306CAA" w:rsidRDefault="005C667F" w:rsidP="000858B4">
            <w:pPr>
              <w:shd w:val="clear" w:color="auto" w:fill="FFFFFF"/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5C667F" w:rsidRPr="00306CAA" w14:paraId="6787729D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4477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6565" w14:textId="65833CC4" w:rsidR="005C667F" w:rsidRPr="000858B4" w:rsidRDefault="005C667F" w:rsidP="000858B4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1,</w:t>
            </w:r>
            <w:r w:rsidR="002B3ECF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9734" w14:textId="76BF257C" w:rsidR="005C667F" w:rsidRPr="000858B4" w:rsidRDefault="002B3ECF" w:rsidP="000858B4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0,06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  <w:tr w:rsidR="005C667F" w:rsidRPr="00306CAA" w14:paraId="7F4499CA" w14:textId="77777777" w:rsidTr="00EE04DC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F13D" w14:textId="77777777" w:rsidR="005C667F" w:rsidRPr="000858B4" w:rsidRDefault="005C667F" w:rsidP="002B3EC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82D5" w14:textId="1E0DF0AC" w:rsidR="005C667F" w:rsidRPr="000858B4" w:rsidRDefault="002B3ECF" w:rsidP="002B3EC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1,35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FEC6" w14:textId="17D6BC3F" w:rsidR="005C667F" w:rsidRPr="000858B4" w:rsidRDefault="002B3ECF" w:rsidP="002B3EC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0,35</w:t>
            </w:r>
            <w:r w:rsidR="005C667F" w:rsidRPr="000858B4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1BDA4BDA" w14:textId="77777777" w:rsidR="00193641" w:rsidRDefault="00193641" w:rsidP="002420DE">
      <w:pPr>
        <w:shd w:val="clear" w:color="auto" w:fill="FFFFFF"/>
        <w:spacing w:after="60"/>
        <w:ind w:left="0"/>
        <w:rPr>
          <w:rFonts w:cs="Arial"/>
          <w:b/>
          <w:bCs/>
          <w:spacing w:val="-3"/>
          <w:szCs w:val="22"/>
        </w:rPr>
      </w:pPr>
    </w:p>
    <w:p w14:paraId="30933EBB" w14:textId="77777777" w:rsidR="00193641" w:rsidRPr="000858B4" w:rsidRDefault="00193641" w:rsidP="002420DE">
      <w:pPr>
        <w:shd w:val="clear" w:color="auto" w:fill="FFFFFF"/>
        <w:spacing w:after="6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CCE2218" w14:textId="77777777" w:rsidR="005C667F" w:rsidRPr="000858B4" w:rsidRDefault="005C667F" w:rsidP="005C667F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AFEB329" w14:textId="77777777" w:rsidR="005C667F" w:rsidRPr="000858B4" w:rsidRDefault="005C667F" w:rsidP="005C667F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082BE777" w14:textId="77777777" w:rsidR="005C667F" w:rsidRPr="000858B4" w:rsidRDefault="005C667F" w:rsidP="005C667F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858B4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175B8338" w14:textId="77777777" w:rsidR="005C667F" w:rsidRPr="000858B4" w:rsidRDefault="005C667F" w:rsidP="005C667F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2CC5BDA8" w14:textId="77777777" w:rsidR="005C667F" w:rsidRPr="000858B4" w:rsidRDefault="005C667F" w:rsidP="005C667F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3909A65B" w14:textId="77777777" w:rsidR="005C667F" w:rsidRPr="000858B4" w:rsidRDefault="005C667F" w:rsidP="005C667F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858B4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858B4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423FC01C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22B9BDDA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306CAA">
        <w:rPr>
          <w:rFonts w:ascii="Arial" w:hAnsi="Arial" w:cs="Arial"/>
          <w:sz w:val="18"/>
          <w:szCs w:val="18"/>
        </w:rPr>
        <w:t>figyelembe vételével</w:t>
      </w:r>
      <w:proofErr w:type="gramEnd"/>
      <w:r w:rsidRPr="00306CAA">
        <w:rPr>
          <w:rFonts w:ascii="Arial" w:hAnsi="Arial" w:cs="Arial"/>
          <w:sz w:val="18"/>
          <w:szCs w:val="18"/>
        </w:rPr>
        <w:t xml:space="preserve"> történik.</w:t>
      </w:r>
    </w:p>
    <w:p w14:paraId="4AB51934" w14:textId="77777777" w:rsidR="005C667F" w:rsidRPr="00306CAA" w:rsidRDefault="005C667F" w:rsidP="005C667F">
      <w:pPr>
        <w:pStyle w:val="Listaszerbekezds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094C4E5" w14:textId="77777777" w:rsidR="005C667F" w:rsidRPr="00306CAA" w:rsidRDefault="005C667F" w:rsidP="005C667F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06525957" w14:textId="77777777" w:rsidR="005C667F" w:rsidRPr="00306CAA" w:rsidRDefault="005C667F" w:rsidP="005C667F">
      <w:pPr>
        <w:pStyle w:val="Listaszerbekezds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203A1169" w14:textId="77777777" w:rsidR="005C667F" w:rsidRPr="00306CAA" w:rsidRDefault="005C667F" w:rsidP="005C667F">
      <w:pPr>
        <w:pStyle w:val="Listaszerbekezds"/>
        <w:numPr>
          <w:ilvl w:val="2"/>
          <w:numId w:val="14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20" w:name="_Hlk38864136"/>
      <w:r w:rsidRPr="00306CAA">
        <w:rPr>
          <w:rFonts w:ascii="Arial" w:hAnsi="Arial" w:cs="Arial"/>
          <w:sz w:val="18"/>
          <w:szCs w:val="18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20"/>
    <w:p w14:paraId="6EBAA276" w14:textId="77777777" w:rsidR="005C667F" w:rsidRPr="00306CAA" w:rsidRDefault="005C667F" w:rsidP="005C667F">
      <w:pPr>
        <w:pStyle w:val="Listaszerbekezds"/>
        <w:numPr>
          <w:ilvl w:val="2"/>
          <w:numId w:val="14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08F7875A" w14:textId="77777777" w:rsidR="005C667F" w:rsidRPr="00306CAA" w:rsidRDefault="005C667F" w:rsidP="005C667F">
      <w:pPr>
        <w:pStyle w:val="Listaszerbekezds"/>
        <w:numPr>
          <w:ilvl w:val="2"/>
          <w:numId w:val="29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1B102C30" w14:textId="77777777" w:rsidR="005C667F" w:rsidRPr="00306CAA" w:rsidRDefault="005C667F" w:rsidP="005C667F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Amennyiben az állami támogatási szabályokkal összefüggésben jogszabályváltozás vagy hatósági döntés az Alapítvány részére díjmódosítási kötelezettséget ír elő, úgy az Alapítvány a kezességi szerződés módosítása </w:t>
      </w:r>
      <w:r w:rsidRPr="00306CAA">
        <w:rPr>
          <w:rFonts w:ascii="Arial" w:hAnsi="Arial" w:cs="Arial"/>
          <w:sz w:val="18"/>
          <w:szCs w:val="18"/>
        </w:rPr>
        <w:lastRenderedPageBreak/>
        <w:t>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567BF285" w14:textId="77777777" w:rsidR="005C667F" w:rsidRPr="00306CAA" w:rsidRDefault="005C667F" w:rsidP="000858B4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6C13C449" w14:textId="77777777" w:rsidR="005C667F" w:rsidRPr="00306CAA" w:rsidRDefault="005C667F" w:rsidP="005C667F">
      <w:pPr>
        <w:pStyle w:val="Listaszerbekezds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0858B4">
        <w:rPr>
          <w:rFonts w:ascii="Arial" w:hAnsi="Arial"/>
          <w:sz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 xml:space="preserve">átutalni. </w:t>
      </w:r>
    </w:p>
    <w:p w14:paraId="4D5E1AE8" w14:textId="77777777" w:rsidR="005C667F" w:rsidRPr="000858B4" w:rsidRDefault="005C667F" w:rsidP="005C66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2E3B0FD2" w14:textId="77777777" w:rsidR="005C667F" w:rsidRPr="00306CAA" w:rsidRDefault="005C667F" w:rsidP="005C667F">
      <w:pPr>
        <w:pStyle w:val="Listaszerbekezds"/>
        <w:numPr>
          <w:ilvl w:val="0"/>
          <w:numId w:val="16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21" w:name="_Hlk15408924"/>
      <w:r w:rsidRPr="00306CAA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21"/>
      <w:r w:rsidRPr="00306CAA">
        <w:rPr>
          <w:rFonts w:ascii="Arial" w:hAnsi="Arial" w:cs="Arial"/>
          <w:b/>
          <w:sz w:val="18"/>
          <w:szCs w:val="18"/>
        </w:rPr>
        <w:t>, jogutódlás esetén</w:t>
      </w:r>
    </w:p>
    <w:p w14:paraId="2ADAC774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262270A7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248836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02E59389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C599A14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5478CAA8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9037443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548FF10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311E6659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6491EC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E2E85D7" w14:textId="77777777" w:rsidR="005C667F" w:rsidRPr="00306CAA" w:rsidRDefault="005C667F" w:rsidP="005C667F">
      <w:pPr>
        <w:pStyle w:val="Listaszerbekezds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</w:t>
      </w:r>
      <w:r w:rsidRPr="00306CAA" w:rsidDel="003E7905">
        <w:rPr>
          <w:rFonts w:ascii="Arial" w:hAnsi="Arial" w:cs="Arial"/>
          <w:sz w:val="18"/>
          <w:szCs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09D18950" w14:textId="77777777" w:rsidR="005C667F" w:rsidRPr="00306CAA" w:rsidRDefault="005C667F" w:rsidP="005C667F">
      <w:pPr>
        <w:pStyle w:val="Listaszerbekezds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Kezességi díjat érintő</w:t>
      </w:r>
      <w:r w:rsidRPr="00306CAA" w:rsidDel="003E7905">
        <w:rPr>
          <w:rFonts w:ascii="Arial" w:hAnsi="Arial" w:cs="Arial"/>
          <w:sz w:val="18"/>
          <w:szCs w:val="18"/>
        </w:rPr>
        <w:t xml:space="preserve"> </w:t>
      </w:r>
      <w:r w:rsidRPr="00306CAA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468D6D72" w14:textId="77777777" w:rsidR="005C667F" w:rsidRPr="00306CAA" w:rsidRDefault="005C667F" w:rsidP="005C667F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3AAC8EC6" w14:textId="77777777" w:rsidR="005C667F" w:rsidRPr="00306CAA" w:rsidRDefault="005C667F" w:rsidP="005C667F">
      <w:pPr>
        <w:pStyle w:val="Listaszerbekezds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 xml:space="preserve">Állami viszontgaranciával biztosított kezesség esetén, ha jogutódlásra (így különösen átalakulásra, szétválásra, egyesülésre, öröklésre, szerződésátruházásra, tartozásátvállalásra) kerül sor, úgy a támogatások nemzeti </w:t>
      </w:r>
      <w:r w:rsidRPr="00306CAA">
        <w:rPr>
          <w:rFonts w:ascii="Arial" w:hAnsi="Arial" w:cs="Arial"/>
          <w:sz w:val="18"/>
          <w:szCs w:val="18"/>
        </w:rPr>
        <w:lastRenderedPageBreak/>
        <w:t>nyilvántartásának rendszere miatt a kedvezményes és korrigált kezességi díj piaci kezességi díjra módosul, és az emelt összegű díjról kerül számviteli bizonylat kiállításra a jogutód felé.</w:t>
      </w:r>
    </w:p>
    <w:p w14:paraId="08EE0C0A" w14:textId="77777777" w:rsidR="005C667F" w:rsidRPr="00306CAA" w:rsidRDefault="005C667F" w:rsidP="005C667F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F508166" w14:textId="77777777" w:rsidR="005C667F" w:rsidRPr="00306CAA" w:rsidRDefault="005C667F" w:rsidP="005C667F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3E80EE83" w14:textId="77777777" w:rsidR="005C667F" w:rsidRPr="00306CAA" w:rsidRDefault="005C667F" w:rsidP="005C667F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734AE3DD" w14:textId="77777777" w:rsidR="005C667F" w:rsidRPr="00306CAA" w:rsidRDefault="005C667F" w:rsidP="005C667F">
      <w:pPr>
        <w:pStyle w:val="Listaszerbekezds"/>
        <w:numPr>
          <w:ilvl w:val="0"/>
          <w:numId w:val="16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306CAA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1B14920B" w14:textId="77777777" w:rsidR="005C667F" w:rsidRPr="00306CAA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4.1</w:t>
      </w:r>
      <w:r w:rsidRPr="00306CAA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33741A" w14:textId="77777777" w:rsidR="005C667F" w:rsidRPr="00306CAA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4.2</w:t>
      </w:r>
      <w:r w:rsidRPr="00306CAA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73FA0DEA" w14:textId="77777777" w:rsidR="005C667F" w:rsidRPr="00306CAA" w:rsidRDefault="005C667F" w:rsidP="005C667F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5AF4CF9B" w14:textId="77777777" w:rsidR="005C667F" w:rsidRPr="000858B4" w:rsidRDefault="005C667F" w:rsidP="005C667F">
      <w:pPr>
        <w:numPr>
          <w:ilvl w:val="5"/>
          <w:numId w:val="20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858B4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7CCD420D" w14:textId="77777777" w:rsidR="005C667F" w:rsidRPr="00306CAA" w:rsidRDefault="005C667F" w:rsidP="005C667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696BD745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692E574B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31D7C14C" w14:textId="77777777" w:rsidR="005C667F" w:rsidRPr="00306CAA" w:rsidRDefault="005C667F" w:rsidP="005C667F">
      <w:pPr>
        <w:numPr>
          <w:ilvl w:val="0"/>
          <w:numId w:val="15"/>
        </w:numPr>
        <w:spacing w:before="0" w:after="240"/>
        <w:ind w:left="567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3D1F4D69" w14:textId="77777777" w:rsidR="005C667F" w:rsidRPr="00306CAA" w:rsidRDefault="005C667F" w:rsidP="005C667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4E995F3" w14:textId="77777777" w:rsidR="005C667F" w:rsidRPr="00306CAA" w:rsidRDefault="005C667F" w:rsidP="005C667F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/>
          <w:sz w:val="18"/>
          <w:lang w:val="hu-HU"/>
        </w:rPr>
      </w:pPr>
    </w:p>
    <w:p w14:paraId="402A7F31" w14:textId="77777777" w:rsidR="005C667F" w:rsidRPr="00306CAA" w:rsidRDefault="005C667F" w:rsidP="005C667F">
      <w:pPr>
        <w:numPr>
          <w:ilvl w:val="5"/>
          <w:numId w:val="20"/>
        </w:numPr>
        <w:shd w:val="clear" w:color="auto" w:fill="FFFFFF"/>
        <w:spacing w:before="0" w:after="240"/>
        <w:ind w:left="1134"/>
        <w:jc w:val="center"/>
        <w:rPr>
          <w:rFonts w:ascii="Arial" w:hAnsi="Arial"/>
          <w:b/>
          <w:caps/>
          <w:sz w:val="18"/>
          <w:lang w:val="hu-HU"/>
        </w:rPr>
      </w:pPr>
      <w:r w:rsidRPr="00306CAA">
        <w:rPr>
          <w:rFonts w:ascii="Arial" w:hAnsi="Arial"/>
          <w:b/>
          <w:caps/>
          <w:sz w:val="18"/>
          <w:lang w:val="hu-HU"/>
        </w:rPr>
        <w:t>KEZESSÉGI DÍJ A cSŐD-, VAGY ADÓSSÁGRENDEZÉSI ELJÁRÁSban</w:t>
      </w:r>
    </w:p>
    <w:p w14:paraId="395E54A4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72E1E93F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5FBE15A3" w14:textId="77777777" w:rsidR="005C667F" w:rsidRPr="00306CAA" w:rsidRDefault="005C667F" w:rsidP="005C667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59972AB9" w14:textId="7258B799" w:rsidR="005C667F" w:rsidRDefault="005C667F" w:rsidP="007C6CA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50886137" w14:textId="1B0665E8" w:rsidR="007C6CA0" w:rsidRDefault="007C6CA0" w:rsidP="007C6CA0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6"/>
        <w:rPr>
          <w:rFonts w:ascii="Arial" w:hAnsi="Arial"/>
          <w:sz w:val="18"/>
          <w:lang w:val="hu-HU"/>
        </w:rPr>
      </w:pPr>
    </w:p>
    <w:p w14:paraId="5F803079" w14:textId="53D07ED4" w:rsidR="007C6CA0" w:rsidRDefault="007C6CA0" w:rsidP="007C6CA0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6"/>
        <w:rPr>
          <w:rFonts w:ascii="Arial" w:hAnsi="Arial"/>
          <w:sz w:val="18"/>
          <w:lang w:val="hu-HU"/>
        </w:rPr>
      </w:pPr>
    </w:p>
    <w:p w14:paraId="009E61F0" w14:textId="571FDC46" w:rsidR="007C6CA0" w:rsidRDefault="007C6CA0" w:rsidP="007C6CA0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6"/>
        <w:rPr>
          <w:rFonts w:ascii="Arial" w:hAnsi="Arial"/>
          <w:sz w:val="18"/>
          <w:lang w:val="hu-HU"/>
        </w:rPr>
      </w:pPr>
    </w:p>
    <w:p w14:paraId="7C524A16" w14:textId="77777777" w:rsidR="007C6CA0" w:rsidRPr="007C6CA0" w:rsidRDefault="007C6CA0" w:rsidP="007C6CA0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6"/>
        <w:rPr>
          <w:rFonts w:ascii="Arial" w:hAnsi="Arial"/>
          <w:sz w:val="18"/>
          <w:lang w:val="hu-HU"/>
        </w:rPr>
      </w:pPr>
    </w:p>
    <w:p w14:paraId="476C923A" w14:textId="6C4FBF76" w:rsidR="005C667F" w:rsidRDefault="005C667F" w:rsidP="007C6CA0">
      <w:pPr>
        <w:shd w:val="clear" w:color="auto" w:fill="FFFFFF"/>
        <w:spacing w:after="60"/>
        <w:jc w:val="center"/>
        <w:rPr>
          <w:rFonts w:ascii="Arial" w:hAnsi="Arial"/>
          <w:b/>
          <w:caps/>
          <w:sz w:val="18"/>
          <w:lang w:val="hu-HU"/>
        </w:rPr>
      </w:pPr>
      <w:r w:rsidRPr="00306CAA">
        <w:rPr>
          <w:rFonts w:ascii="Arial" w:hAnsi="Arial"/>
          <w:b/>
          <w:caps/>
          <w:sz w:val="18"/>
          <w:lang w:val="hu-HU"/>
        </w:rPr>
        <w:lastRenderedPageBreak/>
        <w:t>V. Egyéb díjak</w:t>
      </w:r>
    </w:p>
    <w:p w14:paraId="4A70FF7D" w14:textId="77777777" w:rsidR="007C6CA0" w:rsidRPr="007C6CA0" w:rsidRDefault="007C6CA0" w:rsidP="007C6CA0">
      <w:pPr>
        <w:shd w:val="clear" w:color="auto" w:fill="FFFFFF"/>
        <w:spacing w:after="60"/>
        <w:jc w:val="center"/>
        <w:rPr>
          <w:rFonts w:ascii="Arial" w:hAnsi="Arial"/>
          <w:b/>
          <w:caps/>
          <w:sz w:val="18"/>
          <w:lang w:val="hu-HU"/>
        </w:rPr>
      </w:pPr>
    </w:p>
    <w:p w14:paraId="2B32A279" w14:textId="77777777" w:rsidR="005C667F" w:rsidRPr="00306CAA" w:rsidRDefault="005C667F" w:rsidP="005C667F">
      <w:pPr>
        <w:shd w:val="clear" w:color="auto" w:fill="FFFFFF"/>
        <w:ind w:hanging="567"/>
        <w:rPr>
          <w:rFonts w:ascii="Arial" w:hAnsi="Arial"/>
          <w:b/>
          <w:sz w:val="18"/>
          <w:lang w:val="hu-HU"/>
        </w:rPr>
      </w:pPr>
      <w:r w:rsidRPr="00306CAA">
        <w:rPr>
          <w:rFonts w:ascii="Arial" w:hAnsi="Arial"/>
          <w:b/>
          <w:sz w:val="18"/>
          <w:lang w:val="hu-HU"/>
        </w:rPr>
        <w:t>1.</w:t>
      </w:r>
      <w:r w:rsidRPr="00306CAA">
        <w:rPr>
          <w:rFonts w:ascii="Arial" w:hAnsi="Arial"/>
          <w:b/>
          <w:sz w:val="18"/>
          <w:lang w:val="hu-HU"/>
        </w:rPr>
        <w:tab/>
        <w:t>Kezelési díj</w:t>
      </w:r>
    </w:p>
    <w:p w14:paraId="508FC8E8" w14:textId="77777777" w:rsidR="005C667F" w:rsidRPr="00306CAA" w:rsidRDefault="005C667F" w:rsidP="005C667F">
      <w:pPr>
        <w:pStyle w:val="NormalSsz1"/>
        <w:spacing w:before="0" w:after="6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1.1</w:t>
      </w:r>
      <w:r w:rsidRPr="00306CAA">
        <w:rPr>
          <w:rFonts w:ascii="Arial" w:hAnsi="Arial"/>
          <w:sz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371B5B07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a)</w:t>
      </w:r>
      <w:r w:rsidRPr="00306CAA">
        <w:rPr>
          <w:rFonts w:ascii="Arial" w:hAnsi="Arial"/>
          <w:sz w:val="18"/>
          <w:lang w:val="hu-HU"/>
        </w:rPr>
        <w:tab/>
        <w:t>fedezetmódosítás, ide nem értve a technikai jellegű adatmódosításokat,</w:t>
      </w:r>
    </w:p>
    <w:p w14:paraId="2F7FE0DA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b)</w:t>
      </w:r>
      <w:r w:rsidRPr="00306CAA">
        <w:rPr>
          <w:rFonts w:ascii="Arial" w:hAnsi="Arial"/>
          <w:sz w:val="18"/>
          <w:lang w:val="hu-HU"/>
        </w:rPr>
        <w:tab/>
        <w:t>faktoringszerződés esetén vevő változtatása,</w:t>
      </w:r>
    </w:p>
    <w:p w14:paraId="57E1E5B5" w14:textId="77777777" w:rsidR="005C667F" w:rsidRPr="00306CAA" w:rsidRDefault="005C667F" w:rsidP="005C667F">
      <w:pPr>
        <w:pStyle w:val="NormalSsz1"/>
        <w:spacing w:before="0" w:after="60"/>
        <w:ind w:left="1134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c)</w:t>
      </w:r>
      <w:r w:rsidRPr="00306CAA">
        <w:rPr>
          <w:rFonts w:ascii="Arial" w:hAnsi="Arial"/>
          <w:sz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10363AC8" w14:textId="77777777" w:rsidR="005C667F" w:rsidRPr="00306CAA" w:rsidRDefault="005C667F" w:rsidP="005C667F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d)</w:t>
      </w:r>
      <w:r w:rsidRPr="00306CAA">
        <w:rPr>
          <w:rFonts w:ascii="Arial" w:hAnsi="Arial"/>
          <w:sz w:val="18"/>
          <w:lang w:val="hu-HU"/>
        </w:rPr>
        <w:tab/>
        <w:t>adós személyének változása.</w:t>
      </w:r>
    </w:p>
    <w:p w14:paraId="0B79BEF6" w14:textId="77777777" w:rsidR="005C667F" w:rsidRPr="00306CAA" w:rsidRDefault="005C667F" w:rsidP="005C667F">
      <w:pPr>
        <w:pStyle w:val="NormalSsz1"/>
        <w:spacing w:before="0" w:after="60"/>
        <w:rPr>
          <w:rFonts w:ascii="Arial" w:hAnsi="Arial"/>
          <w:sz w:val="18"/>
          <w:lang w:val="hu-HU"/>
        </w:rPr>
      </w:pPr>
    </w:p>
    <w:p w14:paraId="589F8E9A" w14:textId="77777777" w:rsidR="005C667F" w:rsidRPr="00306CAA" w:rsidRDefault="005C667F" w:rsidP="005C667F">
      <w:pPr>
        <w:ind w:hanging="567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1.2</w:t>
      </w:r>
      <w:r w:rsidRPr="00306CAA">
        <w:rPr>
          <w:rFonts w:ascii="Arial" w:hAnsi="Arial"/>
          <w:sz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7C2E7C5D" w14:textId="77777777" w:rsidR="005C667F" w:rsidRPr="00306CAA" w:rsidRDefault="005C667F" w:rsidP="005C667F">
      <w:pPr>
        <w:pStyle w:val="NormalSsz1"/>
        <w:spacing w:before="0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1.3</w:t>
      </w:r>
      <w:r w:rsidRPr="00306CAA">
        <w:rPr>
          <w:rFonts w:ascii="Arial" w:hAnsi="Arial"/>
          <w:b/>
          <w:sz w:val="18"/>
          <w:lang w:val="hu-HU"/>
        </w:rPr>
        <w:tab/>
      </w:r>
      <w:r w:rsidRPr="00306CAA">
        <w:rPr>
          <w:rFonts w:ascii="Arial" w:hAnsi="Arial"/>
          <w:sz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5C667F" w:rsidRPr="00306CAA" w14:paraId="4D06E528" w14:textId="77777777" w:rsidTr="002B3EC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5F47F" w14:textId="77777777" w:rsidR="005C667F" w:rsidRPr="00306CAA" w:rsidRDefault="005C667F" w:rsidP="002B3ECF">
            <w:pPr>
              <w:spacing w:after="60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7797" w14:textId="77777777" w:rsidR="005C667F" w:rsidRPr="00306CAA" w:rsidRDefault="005C667F" w:rsidP="002B3ECF">
            <w:pPr>
              <w:spacing w:after="60"/>
              <w:ind w:right="113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Kezelési díj</w:t>
            </w:r>
          </w:p>
          <w:p w14:paraId="5E35B252" w14:textId="77777777" w:rsidR="005C667F" w:rsidRPr="00306CAA" w:rsidRDefault="005C667F" w:rsidP="002B3ECF">
            <w:pPr>
              <w:spacing w:after="60"/>
              <w:ind w:right="113"/>
              <w:jc w:val="center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(Ft)</w:t>
            </w:r>
          </w:p>
        </w:tc>
      </w:tr>
      <w:tr w:rsidR="005C667F" w:rsidRPr="00306CAA" w14:paraId="3B42676A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2028E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BEF4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3.000</w:t>
            </w:r>
          </w:p>
        </w:tc>
      </w:tr>
      <w:tr w:rsidR="005C667F" w:rsidRPr="00306CAA" w14:paraId="50A89D78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2000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69FAE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10.000</w:t>
            </w:r>
          </w:p>
        </w:tc>
      </w:tr>
      <w:tr w:rsidR="005C667F" w:rsidRPr="00306CAA" w14:paraId="37CC21A5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DD477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CB31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20.000</w:t>
            </w:r>
          </w:p>
        </w:tc>
      </w:tr>
      <w:tr w:rsidR="005C667F" w:rsidRPr="00306CAA" w14:paraId="23905D4E" w14:textId="77777777" w:rsidTr="002B3EC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80BF" w14:textId="77777777" w:rsidR="005C667F" w:rsidRPr="00306CAA" w:rsidRDefault="005C667F" w:rsidP="002B3ECF">
            <w:pPr>
              <w:spacing w:after="60"/>
              <w:ind w:left="57" w:right="57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EF601" w14:textId="77777777" w:rsidR="005C667F" w:rsidRPr="00306CAA" w:rsidRDefault="005C667F" w:rsidP="002B3ECF">
            <w:pPr>
              <w:spacing w:after="60"/>
              <w:ind w:right="345"/>
              <w:jc w:val="right"/>
              <w:rPr>
                <w:rFonts w:ascii="Arial" w:hAnsi="Arial"/>
                <w:sz w:val="18"/>
                <w:lang w:val="hu-HU"/>
              </w:rPr>
            </w:pPr>
            <w:r w:rsidRPr="00306CAA">
              <w:rPr>
                <w:rFonts w:ascii="Arial" w:hAnsi="Arial"/>
                <w:sz w:val="18"/>
                <w:lang w:val="hu-HU"/>
              </w:rPr>
              <w:t>40.000</w:t>
            </w:r>
          </w:p>
        </w:tc>
      </w:tr>
    </w:tbl>
    <w:p w14:paraId="7458441D" w14:textId="77777777" w:rsidR="005C667F" w:rsidRPr="00306CAA" w:rsidRDefault="005C667F" w:rsidP="005C667F">
      <w:pPr>
        <w:pStyle w:val="NormalSsz1"/>
        <w:spacing w:after="240"/>
        <w:ind w:hanging="28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A kezelési díj megfizetésének határideje a számviteli bizonylat kiállításától számított 45 nap.</w:t>
      </w:r>
    </w:p>
    <w:p w14:paraId="7939F103" w14:textId="77777777" w:rsidR="005C667F" w:rsidRPr="00306CAA" w:rsidRDefault="005C667F" w:rsidP="000858B4">
      <w:pPr>
        <w:pStyle w:val="Listaszerbekezds"/>
        <w:numPr>
          <w:ilvl w:val="0"/>
          <w:numId w:val="45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306CAA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3EDFF042" w14:textId="77777777" w:rsidR="005C667F" w:rsidRPr="00306CAA" w:rsidRDefault="005C667F" w:rsidP="005C667F">
      <w:pPr>
        <w:shd w:val="clear" w:color="auto" w:fill="FFFFFF"/>
        <w:spacing w:after="240"/>
        <w:ind w:left="426" w:hanging="426"/>
        <w:rPr>
          <w:rFonts w:ascii="Arial" w:hAnsi="Arial"/>
          <w:sz w:val="18"/>
          <w:lang w:val="hu-HU"/>
        </w:rPr>
      </w:pPr>
      <w:r w:rsidRPr="00306CAA">
        <w:rPr>
          <w:rFonts w:ascii="Arial" w:hAnsi="Arial"/>
          <w:sz w:val="18"/>
          <w:lang w:val="hu-HU"/>
        </w:rPr>
        <w:t>2.1</w:t>
      </w:r>
      <w:r w:rsidRPr="00306CAA">
        <w:rPr>
          <w:rFonts w:ascii="Arial" w:hAnsi="Arial"/>
          <w:sz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3010EAAB" w14:textId="4BB39D63" w:rsidR="005C667F" w:rsidRPr="000858B4" w:rsidRDefault="005C667F" w:rsidP="000858B4">
      <w:pPr>
        <w:pStyle w:val="Listaszerbekezds"/>
        <w:numPr>
          <w:ilvl w:val="1"/>
          <w:numId w:val="51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0858B4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14078208" w14:textId="77777777" w:rsidR="005C667F" w:rsidRPr="00306CAA" w:rsidRDefault="005C667F" w:rsidP="005C667F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306CAA">
        <w:rPr>
          <w:rFonts w:ascii="Arial" w:hAnsi="Arial" w:cs="Arial"/>
          <w:sz w:val="18"/>
          <w:szCs w:val="18"/>
        </w:rPr>
        <w:t>2.3</w:t>
      </w:r>
      <w:r w:rsidRPr="00306CAA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574D" w14:textId="77777777" w:rsidR="002B3ECF" w:rsidRDefault="002B3ECF">
      <w:pPr>
        <w:spacing w:before="0" w:after="0"/>
      </w:pPr>
      <w:r>
        <w:separator/>
      </w:r>
    </w:p>
  </w:endnote>
  <w:endnote w:type="continuationSeparator" w:id="0">
    <w:p w14:paraId="5A011CF4" w14:textId="77777777" w:rsidR="002B3ECF" w:rsidRDefault="002B3ECF">
      <w:pPr>
        <w:spacing w:before="0" w:after="0"/>
      </w:pPr>
      <w:r>
        <w:continuationSeparator/>
      </w:r>
    </w:p>
  </w:endnote>
  <w:endnote w:type="continuationNotice" w:id="1">
    <w:p w14:paraId="3379316D" w14:textId="77777777" w:rsidR="002B3ECF" w:rsidRDefault="002B3E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7835" w14:textId="0015B97F" w:rsidR="000333E8" w:rsidRPr="00911EDB" w:rsidRDefault="000333E8" w:rsidP="005674E5">
    <w:pPr>
      <w:pStyle w:val="llb"/>
      <w:spacing w:before="0" w:after="0"/>
      <w:ind w:left="-284"/>
      <w:rPr>
        <w:rFonts w:ascii="Arial" w:hAnsi="Arial" w:cs="Arial"/>
      </w:rPr>
    </w:pPr>
    <w:r w:rsidRPr="005674E5">
      <w:t>*</w:t>
    </w:r>
    <w:r>
      <w:t xml:space="preserve"> </w:t>
    </w:r>
    <w:r w:rsidRPr="004D5159">
      <w:rPr>
        <w:rFonts w:ascii="Arial" w:hAnsi="Arial" w:cs="Arial"/>
        <w:sz w:val="16"/>
        <w:szCs w:val="18"/>
        <w:lang w:val="hu-HU"/>
      </w:rPr>
      <w:t>Az Alapítvány a 202</w:t>
    </w:r>
    <w:r>
      <w:rPr>
        <w:rFonts w:ascii="Arial" w:hAnsi="Arial" w:cs="Arial"/>
        <w:sz w:val="16"/>
        <w:szCs w:val="18"/>
        <w:lang w:val="hu-HU"/>
      </w:rPr>
      <w:t>2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r w:rsidR="00C35415">
      <w:rPr>
        <w:rFonts w:ascii="Arial" w:hAnsi="Arial" w:cs="Arial"/>
        <w:sz w:val="16"/>
        <w:szCs w:val="18"/>
        <w:lang w:val="hu-HU"/>
      </w:rPr>
      <w:t>november 17</w:t>
    </w:r>
    <w:r>
      <w:rPr>
        <w:rFonts w:ascii="Arial" w:hAnsi="Arial" w:cs="Arial"/>
        <w:sz w:val="16"/>
        <w:szCs w:val="18"/>
        <w:lang w:val="hu-HU"/>
      </w:rPr>
      <w:t>-</w:t>
    </w:r>
    <w:r w:rsidRPr="004D5159">
      <w:rPr>
        <w:rFonts w:ascii="Arial" w:hAnsi="Arial" w:cs="Arial"/>
        <w:sz w:val="16"/>
        <w:szCs w:val="18"/>
        <w:lang w:val="hu-HU"/>
      </w:rPr>
      <w:t>t</w:t>
    </w:r>
    <w:r>
      <w:rPr>
        <w:rFonts w:ascii="Arial" w:hAnsi="Arial" w:cs="Arial"/>
        <w:sz w:val="16"/>
        <w:szCs w:val="18"/>
        <w:lang w:val="hu-HU"/>
      </w:rPr>
      <w:t>ó</w:t>
    </w:r>
    <w:r w:rsidRPr="004D5159">
      <w:rPr>
        <w:rFonts w:ascii="Arial" w:hAnsi="Arial" w:cs="Arial"/>
        <w:sz w:val="16"/>
        <w:szCs w:val="18"/>
        <w:lang w:val="hu-HU"/>
      </w:rPr>
      <w:t xml:space="preserve">l 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Pr="00EE04DC">
      <w:rPr>
        <w:rFonts w:ascii="Arial" w:hAnsi="Arial" w:cs="Arial"/>
        <w:sz w:val="16"/>
        <w:szCs w:val="18"/>
        <w:lang w:val="hu-HU"/>
      </w:rPr>
      <w:t>202</w:t>
    </w:r>
    <w:r w:rsidR="00C35415">
      <w:rPr>
        <w:rFonts w:ascii="Arial" w:hAnsi="Arial" w:cs="Arial"/>
        <w:sz w:val="16"/>
        <w:szCs w:val="18"/>
        <w:lang w:val="hu-HU"/>
      </w:rPr>
      <w:t>3</w:t>
    </w:r>
    <w:r w:rsidRPr="00EE04DC">
      <w:rPr>
        <w:rFonts w:ascii="Arial" w:hAnsi="Arial" w:cs="Arial"/>
        <w:sz w:val="16"/>
        <w:szCs w:val="18"/>
        <w:lang w:val="hu-HU"/>
      </w:rPr>
      <w:t xml:space="preserve">. </w:t>
    </w:r>
    <w:r w:rsidR="00C35415">
      <w:rPr>
        <w:rFonts w:ascii="Arial" w:hAnsi="Arial" w:cs="Arial"/>
        <w:sz w:val="16"/>
        <w:szCs w:val="18"/>
        <w:lang w:val="hu-HU"/>
      </w:rPr>
      <w:t>április</w:t>
    </w:r>
    <w:r w:rsidR="00C35415" w:rsidRPr="00EE04DC">
      <w:rPr>
        <w:rFonts w:ascii="Arial" w:hAnsi="Arial" w:cs="Arial"/>
        <w:sz w:val="16"/>
        <w:szCs w:val="18"/>
        <w:lang w:val="hu-HU"/>
      </w:rPr>
      <w:t xml:space="preserve"> </w:t>
    </w:r>
    <w:r w:rsidRPr="00EE04DC">
      <w:rPr>
        <w:rFonts w:ascii="Arial" w:hAnsi="Arial" w:cs="Arial"/>
        <w:sz w:val="16"/>
        <w:szCs w:val="18"/>
        <w:lang w:val="hu-HU"/>
      </w:rPr>
      <w:t>1</w:t>
    </w:r>
    <w:r>
      <w:rPr>
        <w:rFonts w:ascii="Arial" w:hAnsi="Arial" w:cs="Arial"/>
        <w:sz w:val="16"/>
        <w:szCs w:val="18"/>
        <w:lang w:val="hu-HU"/>
      </w:rPr>
      <w:t>5</w:t>
    </w:r>
    <w:r w:rsidRPr="00EE04DC">
      <w:rPr>
        <w:rFonts w:ascii="Arial" w:hAnsi="Arial" w:cs="Arial"/>
        <w:sz w:val="16"/>
        <w:szCs w:val="18"/>
        <w:lang w:val="hu-HU"/>
      </w:rPr>
      <w:t>-ig</w:t>
    </w:r>
    <w:r w:rsidRPr="00911EDB">
      <w:rPr>
        <w:rFonts w:ascii="Arial" w:hAnsi="Arial" w:cs="Arial"/>
        <w:sz w:val="16"/>
        <w:szCs w:val="18"/>
        <w:lang w:val="hu-HU"/>
      </w:rPr>
      <w:t xml:space="preserve"> benyújtott kérelmek vonatkozásában fogadja el.</w:t>
    </w:r>
  </w:p>
  <w:p w14:paraId="736FE9D4" w14:textId="77777777" w:rsidR="002B3ECF" w:rsidRDefault="002B3ECF" w:rsidP="000333E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C412B" w14:textId="77777777" w:rsidR="002B3ECF" w:rsidRDefault="002B3ECF">
      <w:pPr>
        <w:spacing w:before="0" w:after="0"/>
      </w:pPr>
      <w:r>
        <w:separator/>
      </w:r>
    </w:p>
  </w:footnote>
  <w:footnote w:type="continuationSeparator" w:id="0">
    <w:p w14:paraId="76177EDA" w14:textId="77777777" w:rsidR="002B3ECF" w:rsidRDefault="002B3ECF">
      <w:pPr>
        <w:spacing w:before="0" w:after="0"/>
      </w:pPr>
      <w:r>
        <w:continuationSeparator/>
      </w:r>
    </w:p>
  </w:footnote>
  <w:footnote w:type="continuationNotice" w:id="1">
    <w:p w14:paraId="552860D1" w14:textId="77777777" w:rsidR="002B3ECF" w:rsidRDefault="002B3ECF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7F14338F" w14:textId="77777777" w:rsidR="002B3ECF" w:rsidRPr="007D0633" w:rsidRDefault="002B3ECF" w:rsidP="005C667F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7D0633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65CEFCE3" w14:textId="2B7AB91F" w:rsidR="00435C52" w:rsidRPr="00EE04DC" w:rsidRDefault="00435C52">
      <w:pPr>
        <w:pStyle w:val="Lbjegyzetszveg"/>
        <w:rPr>
          <w:rFonts w:ascii="Arial" w:hAnsi="Arial" w:cs="Arial"/>
          <w:sz w:val="18"/>
          <w:szCs w:val="18"/>
        </w:rPr>
      </w:pPr>
      <w:r w:rsidRPr="00EE04DC">
        <w:rPr>
          <w:rStyle w:val="Lbjegyzet-hivatkozs"/>
          <w:rFonts w:ascii="Arial" w:hAnsi="Arial" w:cs="Arial"/>
          <w:sz w:val="18"/>
          <w:szCs w:val="18"/>
        </w:rPr>
        <w:footnoteRef/>
      </w:r>
      <w:r w:rsidRPr="00EE04DC">
        <w:rPr>
          <w:rFonts w:ascii="Arial" w:hAnsi="Arial" w:cs="Arial"/>
          <w:sz w:val="18"/>
          <w:szCs w:val="18"/>
        </w:rPr>
        <w:t xml:space="preserve"> A Díjrendeletek alapján.</w:t>
      </w:r>
    </w:p>
  </w:footnote>
  <w:footnote w:id="7">
    <w:p w14:paraId="2242E0E3" w14:textId="24C11292" w:rsidR="00435C52" w:rsidRPr="00EE04DC" w:rsidRDefault="00435C52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E04DC">
        <w:rPr>
          <w:rStyle w:val="Lbjegyzet-hivatkozs"/>
          <w:rFonts w:ascii="Arial" w:hAnsi="Arial" w:cs="Arial"/>
          <w:sz w:val="18"/>
          <w:szCs w:val="18"/>
        </w:rPr>
        <w:t>6</w:t>
      </w:r>
      <w:r w:rsidRPr="00EE04DC">
        <w:rPr>
          <w:rFonts w:ascii="Arial" w:hAnsi="Arial" w:cs="Arial"/>
          <w:sz w:val="18"/>
          <w:szCs w:val="18"/>
        </w:rPr>
        <w:t xml:space="preserve"> </w:t>
      </w:r>
      <w:r w:rsidRPr="007D0633">
        <w:rPr>
          <w:rFonts w:ascii="Arial" w:hAnsi="Arial" w:cs="Arial"/>
          <w:sz w:val="18"/>
          <w:szCs w:val="18"/>
          <w:lang w:val="hu-HU"/>
        </w:rPr>
        <w:t>A Díjrendeletek alapján</w:t>
      </w:r>
    </w:p>
  </w:footnote>
  <w:footnote w:id="8">
    <w:p w14:paraId="636E5EF3" w14:textId="01F606A8" w:rsidR="002B3ECF" w:rsidRPr="007D0633" w:rsidRDefault="002B3ECF" w:rsidP="005C667F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7D0633">
        <w:rPr>
          <w:rStyle w:val="Lbjegyzet-hivatkozs"/>
          <w:rFonts w:ascii="Arial" w:hAnsi="Arial" w:cs="Arial"/>
          <w:sz w:val="18"/>
          <w:szCs w:val="18"/>
        </w:rPr>
        <w:footnoteRef/>
      </w:r>
      <w:r w:rsidRPr="007D0633">
        <w:rPr>
          <w:rFonts w:ascii="Arial" w:hAnsi="Arial" w:cs="Arial"/>
          <w:sz w:val="18"/>
          <w:szCs w:val="18"/>
        </w:rPr>
        <w:t xml:space="preserve"> </w:t>
      </w:r>
      <w:r w:rsidR="00435C52" w:rsidRPr="007D0633">
        <w:rPr>
          <w:rFonts w:ascii="Arial" w:hAnsi="Arial" w:cs="Arial"/>
          <w:sz w:val="18"/>
          <w:szCs w:val="18"/>
          <w:lang w:val="hu-HU"/>
        </w:rPr>
        <w:t>A vidékfejlesztési célú ügyletek nem jogosultak a Vállalkozásnak nyújtott költségvetési díjtámogatásra</w:t>
      </w:r>
      <w:r w:rsidRPr="007D0633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386EACD7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2023. március 31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CB3129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ő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  <w:r w:rsidR="00911ED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*</w:t>
        </w:r>
      </w:p>
      <w:p w14:paraId="205B0C94" w14:textId="77777777" w:rsidR="002B3ECF" w:rsidRDefault="00402AD1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6AD2433E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C35415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2023. március 31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1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2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4ABB31AE"/>
    <w:multiLevelType w:val="hybridMultilevel"/>
    <w:tmpl w:val="78F8396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3DA22BE"/>
    <w:multiLevelType w:val="hybridMultilevel"/>
    <w:tmpl w:val="C1CA1CDC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9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2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50"/>
  </w:num>
  <w:num w:numId="3">
    <w:abstractNumId w:val="29"/>
  </w:num>
  <w:num w:numId="4">
    <w:abstractNumId w:val="22"/>
  </w:num>
  <w:num w:numId="5">
    <w:abstractNumId w:val="1"/>
  </w:num>
  <w:num w:numId="6">
    <w:abstractNumId w:val="34"/>
  </w:num>
  <w:num w:numId="7">
    <w:abstractNumId w:val="32"/>
  </w:num>
  <w:num w:numId="8">
    <w:abstractNumId w:val="39"/>
  </w:num>
  <w:num w:numId="9">
    <w:abstractNumId w:val="46"/>
  </w:num>
  <w:num w:numId="10">
    <w:abstractNumId w:val="31"/>
  </w:num>
  <w:num w:numId="11">
    <w:abstractNumId w:val="25"/>
  </w:num>
  <w:num w:numId="12">
    <w:abstractNumId w:val="20"/>
  </w:num>
  <w:num w:numId="13">
    <w:abstractNumId w:val="5"/>
  </w:num>
  <w:num w:numId="14">
    <w:abstractNumId w:val="17"/>
  </w:num>
  <w:num w:numId="15">
    <w:abstractNumId w:val="8"/>
  </w:num>
  <w:num w:numId="16">
    <w:abstractNumId w:val="42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43"/>
  </w:num>
  <w:num w:numId="22">
    <w:abstractNumId w:val="18"/>
  </w:num>
  <w:num w:numId="23">
    <w:abstractNumId w:val="11"/>
  </w:num>
  <w:num w:numId="24">
    <w:abstractNumId w:val="0"/>
  </w:num>
  <w:num w:numId="25">
    <w:abstractNumId w:val="49"/>
  </w:num>
  <w:num w:numId="26">
    <w:abstractNumId w:val="6"/>
  </w:num>
  <w:num w:numId="27">
    <w:abstractNumId w:val="26"/>
  </w:num>
  <w:num w:numId="28">
    <w:abstractNumId w:val="47"/>
  </w:num>
  <w:num w:numId="29">
    <w:abstractNumId w:val="9"/>
  </w:num>
  <w:num w:numId="30">
    <w:abstractNumId w:val="35"/>
  </w:num>
  <w:num w:numId="31">
    <w:abstractNumId w:val="7"/>
  </w:num>
  <w:num w:numId="32">
    <w:abstractNumId w:val="44"/>
  </w:num>
  <w:num w:numId="33">
    <w:abstractNumId w:val="45"/>
  </w:num>
  <w:num w:numId="34">
    <w:abstractNumId w:val="23"/>
  </w:num>
  <w:num w:numId="3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10"/>
  </w:num>
  <w:num w:numId="38">
    <w:abstractNumId w:val="14"/>
  </w:num>
  <w:num w:numId="39">
    <w:abstractNumId w:val="36"/>
  </w:num>
  <w:num w:numId="40">
    <w:abstractNumId w:val="52"/>
  </w:num>
  <w:num w:numId="41">
    <w:abstractNumId w:val="27"/>
  </w:num>
  <w:num w:numId="42">
    <w:abstractNumId w:val="37"/>
  </w:num>
  <w:num w:numId="43">
    <w:abstractNumId w:val="48"/>
  </w:num>
  <w:num w:numId="44">
    <w:abstractNumId w:val="12"/>
  </w:num>
  <w:num w:numId="45">
    <w:abstractNumId w:val="15"/>
  </w:num>
  <w:num w:numId="46">
    <w:abstractNumId w:val="33"/>
  </w:num>
  <w:num w:numId="47">
    <w:abstractNumId w:val="4"/>
  </w:num>
  <w:num w:numId="48">
    <w:abstractNumId w:val="16"/>
  </w:num>
  <w:num w:numId="49">
    <w:abstractNumId w:val="40"/>
  </w:num>
  <w:num w:numId="50">
    <w:abstractNumId w:val="24"/>
  </w:num>
  <w:num w:numId="51">
    <w:abstractNumId w:val="30"/>
  </w:num>
  <w:num w:numId="52">
    <w:abstractNumId w:val="19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DdpD7zsbWkuQGQ5oGiSt4aR4yFVgcJL73zFn8t7aaa7YKhhIVnrGEh2aKUI0rmom6tPgE4tQquiBMrsqJe2WA==" w:salt="V0ULaDmWazpUUVHWRaky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A0E0F"/>
    <w:rsid w:val="000A1F77"/>
    <w:rsid w:val="000A41A6"/>
    <w:rsid w:val="000B5F02"/>
    <w:rsid w:val="000B62C7"/>
    <w:rsid w:val="000B69AD"/>
    <w:rsid w:val="000C08F9"/>
    <w:rsid w:val="000C46DB"/>
    <w:rsid w:val="000D128D"/>
    <w:rsid w:val="000D1D17"/>
    <w:rsid w:val="000D2BCE"/>
    <w:rsid w:val="000D4059"/>
    <w:rsid w:val="000D6779"/>
    <w:rsid w:val="000D7FD2"/>
    <w:rsid w:val="000E086E"/>
    <w:rsid w:val="000E1DC6"/>
    <w:rsid w:val="000E365B"/>
    <w:rsid w:val="000E4952"/>
    <w:rsid w:val="000F7A9D"/>
    <w:rsid w:val="000F7C01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2026BB"/>
    <w:rsid w:val="00204AEB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375"/>
    <w:rsid w:val="002B3ECF"/>
    <w:rsid w:val="002B6255"/>
    <w:rsid w:val="002C1846"/>
    <w:rsid w:val="002C6173"/>
    <w:rsid w:val="002C707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6311"/>
    <w:rsid w:val="00300FE9"/>
    <w:rsid w:val="00305D71"/>
    <w:rsid w:val="00306CAA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3024"/>
    <w:rsid w:val="00586931"/>
    <w:rsid w:val="00586EFC"/>
    <w:rsid w:val="00590EE9"/>
    <w:rsid w:val="0059152E"/>
    <w:rsid w:val="00592D4F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BEF"/>
    <w:rsid w:val="00622690"/>
    <w:rsid w:val="00624351"/>
    <w:rsid w:val="006259E4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C1837"/>
    <w:rsid w:val="006C31D0"/>
    <w:rsid w:val="006D3C41"/>
    <w:rsid w:val="006D5FD6"/>
    <w:rsid w:val="006E2A86"/>
    <w:rsid w:val="006E4E1D"/>
    <w:rsid w:val="006E5121"/>
    <w:rsid w:val="006F5E95"/>
    <w:rsid w:val="006F6F9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3AB3"/>
    <w:rsid w:val="007627AD"/>
    <w:rsid w:val="007634AF"/>
    <w:rsid w:val="00763C07"/>
    <w:rsid w:val="007668A3"/>
    <w:rsid w:val="00775FF1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42EDB"/>
    <w:rsid w:val="0085229C"/>
    <w:rsid w:val="0085478F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2450"/>
    <w:rsid w:val="008A1DAD"/>
    <w:rsid w:val="008A2020"/>
    <w:rsid w:val="008B0D65"/>
    <w:rsid w:val="008B1F3E"/>
    <w:rsid w:val="008B267B"/>
    <w:rsid w:val="008B618E"/>
    <w:rsid w:val="008B76BF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50F9"/>
    <w:rsid w:val="009359BA"/>
    <w:rsid w:val="009428BA"/>
    <w:rsid w:val="009438C5"/>
    <w:rsid w:val="0094560E"/>
    <w:rsid w:val="00952651"/>
    <w:rsid w:val="00952880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49A3"/>
    <w:rsid w:val="009B0DF7"/>
    <w:rsid w:val="009B14B5"/>
    <w:rsid w:val="009B595F"/>
    <w:rsid w:val="009C1A01"/>
    <w:rsid w:val="009C6A00"/>
    <w:rsid w:val="009C7202"/>
    <w:rsid w:val="009D521E"/>
    <w:rsid w:val="009D6727"/>
    <w:rsid w:val="009E411F"/>
    <w:rsid w:val="009E50F8"/>
    <w:rsid w:val="009E6177"/>
    <w:rsid w:val="009E6B60"/>
    <w:rsid w:val="009F0B71"/>
    <w:rsid w:val="009F0EA4"/>
    <w:rsid w:val="009F244F"/>
    <w:rsid w:val="009F46AB"/>
    <w:rsid w:val="009F6864"/>
    <w:rsid w:val="00A218B7"/>
    <w:rsid w:val="00A22F7A"/>
    <w:rsid w:val="00A23409"/>
    <w:rsid w:val="00A239B8"/>
    <w:rsid w:val="00A27C46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8020A"/>
    <w:rsid w:val="00A8747B"/>
    <w:rsid w:val="00A875E6"/>
    <w:rsid w:val="00A90D60"/>
    <w:rsid w:val="00A93362"/>
    <w:rsid w:val="00A946AB"/>
    <w:rsid w:val="00A946D2"/>
    <w:rsid w:val="00A95151"/>
    <w:rsid w:val="00A96699"/>
    <w:rsid w:val="00AA6082"/>
    <w:rsid w:val="00AB0823"/>
    <w:rsid w:val="00AB0EBB"/>
    <w:rsid w:val="00AB4A46"/>
    <w:rsid w:val="00AB5ACB"/>
    <w:rsid w:val="00AC0E7A"/>
    <w:rsid w:val="00AC2DB8"/>
    <w:rsid w:val="00AE3ABC"/>
    <w:rsid w:val="00AE3FF9"/>
    <w:rsid w:val="00AE4CB5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81CF3"/>
    <w:rsid w:val="00C82585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E0037"/>
    <w:rsid w:val="00CE3405"/>
    <w:rsid w:val="00CE4EFC"/>
    <w:rsid w:val="00CE553F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60691"/>
    <w:rsid w:val="00D62AEF"/>
    <w:rsid w:val="00D63516"/>
    <w:rsid w:val="00D65946"/>
    <w:rsid w:val="00D65DC7"/>
    <w:rsid w:val="00D71195"/>
    <w:rsid w:val="00D719A1"/>
    <w:rsid w:val="00D71ED5"/>
    <w:rsid w:val="00D72F84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A0923"/>
    <w:rsid w:val="00EA1FF6"/>
    <w:rsid w:val="00EA4322"/>
    <w:rsid w:val="00EB0DA6"/>
    <w:rsid w:val="00EB468D"/>
    <w:rsid w:val="00EB4693"/>
    <w:rsid w:val="00EB7447"/>
    <w:rsid w:val="00EB75E7"/>
    <w:rsid w:val="00EC3392"/>
    <w:rsid w:val="00EC39F8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70FD"/>
    <w:rsid w:val="00F17CB3"/>
    <w:rsid w:val="00F205A1"/>
    <w:rsid w:val="00F21364"/>
    <w:rsid w:val="00F2575A"/>
    <w:rsid w:val="00F30383"/>
    <w:rsid w:val="00F31CB8"/>
    <w:rsid w:val="00F32990"/>
    <w:rsid w:val="00F36A08"/>
    <w:rsid w:val="00F42CA8"/>
    <w:rsid w:val="00F455DA"/>
    <w:rsid w:val="00F46361"/>
    <w:rsid w:val="00F47326"/>
    <w:rsid w:val="00F5112B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195A-93A1-4AE1-A899-2368931B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14</TotalTime>
  <Pages>12</Pages>
  <Words>5384</Words>
  <Characters>37150</Characters>
  <Application>Microsoft Office Word</Application>
  <DocSecurity>0</DocSecurity>
  <Lines>309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Bencsik Dániel</cp:lastModifiedBy>
  <cp:revision>6</cp:revision>
  <cp:lastPrinted>2021-05-25T13:42:00Z</cp:lastPrinted>
  <dcterms:created xsi:type="dcterms:W3CDTF">2023-03-10T08:50:00Z</dcterms:created>
  <dcterms:modified xsi:type="dcterms:W3CDTF">2023-03-14T08:21:00Z</dcterms:modified>
</cp:coreProperties>
</file>